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A320" w14:textId="1051A87A" w:rsidR="002A5BB8" w:rsidRDefault="002A5BB8" w:rsidP="00403958">
      <w:pPr>
        <w:rPr>
          <w:b/>
          <w:bCs/>
        </w:rPr>
      </w:pPr>
      <w:r>
        <w:rPr>
          <w:b/>
          <w:bCs/>
        </w:rPr>
        <w:t>PRAC Grant Proposal</w:t>
      </w:r>
    </w:p>
    <w:p w14:paraId="5B8D982B" w14:textId="3E7FB6AB" w:rsidR="00403958" w:rsidRPr="00403958" w:rsidRDefault="00403958" w:rsidP="00403958">
      <w:pPr>
        <w:rPr>
          <w:b/>
          <w:bCs/>
        </w:rPr>
      </w:pPr>
      <w:r w:rsidRPr="00403958">
        <w:rPr>
          <w:b/>
          <w:bCs/>
        </w:rPr>
        <w:t>Project Title: Reimagining Transition to Residency: A Novel Cadaver Lab Curriculum Evaluation</w:t>
      </w:r>
    </w:p>
    <w:p w14:paraId="3C0F37A7" w14:textId="77777777" w:rsidR="00232682" w:rsidRDefault="00403958" w:rsidP="00403958">
      <w:r>
        <w:t xml:space="preserve">Submitted By: Maya Hunt [mayahunt@iu.edu] </w:t>
      </w:r>
    </w:p>
    <w:p w14:paraId="62139478" w14:textId="73E53AD7" w:rsidR="00403958" w:rsidRDefault="00403958" w:rsidP="00403958">
      <w:r>
        <w:t>School: School of Medicine</w:t>
      </w:r>
    </w:p>
    <w:p w14:paraId="24339A2F" w14:textId="77777777" w:rsidR="00403958" w:rsidRDefault="00403958" w:rsidP="00403958">
      <w:r>
        <w:t>Department: General Surgery</w:t>
      </w:r>
    </w:p>
    <w:p w14:paraId="74117119" w14:textId="77777777" w:rsidR="0015289D" w:rsidRDefault="00403958" w:rsidP="00403958">
      <w:r>
        <w:t xml:space="preserve">Project Period (month/year): 3/2025 - 6/2026 </w:t>
      </w:r>
    </w:p>
    <w:p w14:paraId="6AAEC7B3" w14:textId="33C3A804" w:rsidR="00403958" w:rsidRDefault="00403958" w:rsidP="00403958">
      <w:r>
        <w:t>Amount Requested: $5,000.00</w:t>
      </w:r>
    </w:p>
    <w:p w14:paraId="4E301AEF" w14:textId="77777777" w:rsidR="00403958" w:rsidRPr="00403958" w:rsidRDefault="00403958" w:rsidP="00403958">
      <w:pPr>
        <w:rPr>
          <w:b/>
          <w:bCs/>
        </w:rPr>
      </w:pPr>
      <w:r w:rsidRPr="00403958">
        <w:rPr>
          <w:b/>
          <w:bCs/>
        </w:rPr>
        <w:t>Abstract:</w:t>
      </w:r>
    </w:p>
    <w:p w14:paraId="268614CC" w14:textId="77777777" w:rsidR="00403958" w:rsidRDefault="00403958" w:rsidP="00403958">
      <w:r>
        <w:t>This project aims to evaluate a novel cadaver lab curriculum within Indiana University School of Medicine's Surgery Transition to Residency (TTR) course. While TTR programs and cadaver dissections are established educational tools, no published TTR course has utilized cadavers to enhance fourth-year medical students' technical skills. The curriculum spans three sessions (Skin &amp; Soft Tissue, Chest, and Abdomen) and employs innovative teaching methods, including using detergent pods as abscesses and foam balls as lipomas. Using Kern's 6-step framework, this mixed-methods program evaluation will assess the curriculum's e</w:t>
      </w:r>
      <w:r>
        <w:rPr>
          <w:rFonts w:ascii="Arial" w:hAnsi="Arial" w:cs="Arial"/>
        </w:rPr>
        <w:t>ﬀ</w:t>
      </w:r>
      <w:r>
        <w:t>ectiveness through pre-course surveys and post-session evaluations measuring student con</w:t>
      </w:r>
      <w:r>
        <w:rPr>
          <w:rFonts w:ascii="Aptos" w:hAnsi="Aptos" w:cs="Aptos"/>
        </w:rPr>
        <w:t>ﬁ</w:t>
      </w:r>
      <w:r>
        <w:t>dence and comfort with technical skills. Pro</w:t>
      </w:r>
      <w:r>
        <w:rPr>
          <w:rFonts w:ascii="Aptos" w:hAnsi="Aptos" w:cs="Aptos"/>
        </w:rPr>
        <w:t>ﬁ</w:t>
      </w:r>
      <w:r>
        <w:t>ciency will be assessed through live suturing evaluations using ACS/APDS/ASE Residency Prep Curriculum rubrics and written procedural descriptions scored against developed rubrics. Quantitative analysis will include paired t-testing of self-reported scores and descriptive statistics of proﬁciency assessments, while qualitative analysis will employ rapid thematic analysis of narrative feedback. The curriculum incorporates inclusive teaching practices through multiple learning modalities and individualized instruction. Findings will guide curricular improvements and be disseminated through peer-reviewed publication, allowing other institutions to implement similar programs while reinforcing our institution's position in surgical education innovation.</w:t>
      </w:r>
    </w:p>
    <w:p w14:paraId="00D8A503" w14:textId="77777777" w:rsidR="00403958" w:rsidRPr="00403958" w:rsidRDefault="00403958" w:rsidP="00403958">
      <w:pPr>
        <w:rPr>
          <w:b/>
          <w:bCs/>
        </w:rPr>
      </w:pPr>
      <w:r w:rsidRPr="00403958">
        <w:rPr>
          <w:b/>
          <w:bCs/>
        </w:rPr>
        <w:t>What is the purpose of the project?</w:t>
      </w:r>
    </w:p>
    <w:p w14:paraId="2BA1D13F" w14:textId="6372EE3D" w:rsidR="00403958" w:rsidRDefault="00403958" w:rsidP="00403958">
      <w:r>
        <w:t>Transition to Residency (TTR) programs have become commonplace in undergraduate medical education, emphasizing knowledge consolidation and speciﬁc skills development.1 While TTR courses have demonstrated improved surgical technical skills and preparation for residency,2-3 and cadaver dissections e</w:t>
      </w:r>
      <w:r>
        <w:rPr>
          <w:rFonts w:ascii="Arial" w:hAnsi="Arial" w:cs="Arial"/>
        </w:rPr>
        <w:t>ﬀ</w:t>
      </w:r>
      <w:r>
        <w:t xml:space="preserve">ectively train resident skill </w:t>
      </w:r>
      <w:r>
        <w:lastRenderedPageBreak/>
        <w:t>development,4 no published TTR course has utilized cadavers to enhance 4th year medical students</w:t>
      </w:r>
      <w:r>
        <w:rPr>
          <w:rFonts w:ascii="Aptos" w:hAnsi="Aptos" w:cs="Aptos"/>
        </w:rPr>
        <w:t>’</w:t>
      </w:r>
      <w:r>
        <w:t xml:space="preserve"> (MS4) technical skills.</w:t>
      </w:r>
    </w:p>
    <w:p w14:paraId="79E5215B" w14:textId="77777777" w:rsidR="00403958" w:rsidRDefault="00403958" w:rsidP="00403958">
      <w:r>
        <w:t>IUSM’s Surgery TTR course includes a week-long cadaver lab curriculum focusing on foundational surgical skills across three sessions: Skin &amp; Soft Tissue, Chest, and Abdomen. Session objectives derive from American College of Surgeons (ACS) recommendations,5-6 and employ unpublished, innovative teaching methods, including detergent pods as abscesses, foam balls as lipomas, and candy as cysts. Following the ASSET course model, a cadaver-based surgical exposure course for traumatic injuries,7 students receive didactic presentations and perform skills under director instructor observation with feedback. Laminated step-by-step instructions for each skill are provided for reference.</w:t>
      </w:r>
    </w:p>
    <w:p w14:paraId="663DA2D8" w14:textId="77777777" w:rsidR="00403958" w:rsidRDefault="00403958" w:rsidP="00403958">
      <w:r>
        <w:t>While the TTR course undergoes annual review, no formal evaluation of the cadaver lab has been conducted. Although evaluations were distributed after each 2024 session, student skill assessments were not performed to determine if objectives were met. This project will evaluate the IUSM Surgery TTR cadaver lab curriculum.</w:t>
      </w:r>
    </w:p>
    <w:p w14:paraId="659D2796" w14:textId="77777777" w:rsidR="00403958" w:rsidRPr="00403958" w:rsidRDefault="00403958" w:rsidP="00403958">
      <w:pPr>
        <w:rPr>
          <w:b/>
          <w:bCs/>
        </w:rPr>
      </w:pPr>
      <w:r w:rsidRPr="00403958">
        <w:rPr>
          <w:b/>
          <w:bCs/>
        </w:rPr>
        <w:t>What are the intended outcomes of the project?</w:t>
      </w:r>
    </w:p>
    <w:p w14:paraId="59048DA4" w14:textId="77777777" w:rsidR="00403958" w:rsidRDefault="00403958" w:rsidP="00403958">
      <w:r>
        <w:t>Through formal program evaluation, this project aims to determine the e</w:t>
      </w:r>
      <w:r>
        <w:rPr>
          <w:rFonts w:ascii="Arial" w:hAnsi="Arial" w:cs="Arial"/>
        </w:rPr>
        <w:t>ﬃ</w:t>
      </w:r>
      <w:r>
        <w:t>cacy of the curriculum in achieving learning objectives, identify areas for curricular improvement, broadly disseminate for other institutions to adopt, and to address the gap in literature regarding TTR courses utilizing cadaver labs for technical skill instruction.</w:t>
      </w:r>
    </w:p>
    <w:p w14:paraId="1EBAB8DA" w14:textId="77777777" w:rsidR="00403958" w:rsidRDefault="00403958" w:rsidP="00403958">
      <w:r>
        <w:t>The intended outcomes of the evaluation are to determine (1) the e</w:t>
      </w:r>
      <w:r>
        <w:rPr>
          <w:rFonts w:ascii="Arial" w:hAnsi="Arial" w:cs="Arial"/>
        </w:rPr>
        <w:t>ﬃ</w:t>
      </w:r>
      <w:r>
        <w:t>cacy of this curriculum in improving con</w:t>
      </w:r>
      <w:r>
        <w:rPr>
          <w:rFonts w:ascii="Aptos" w:hAnsi="Aptos" w:cs="Aptos"/>
        </w:rPr>
        <w:t>ﬁ</w:t>
      </w:r>
      <w:r>
        <w:t>dence in technical skills and comfort with basic intern-level procedures, and decreasing anxiety for MS4s entering surgical residency, and (2) areas for improvement in the curriculum.</w:t>
      </w:r>
    </w:p>
    <w:p w14:paraId="7C5248BA" w14:textId="77777777" w:rsidR="00403958" w:rsidRPr="00403958" w:rsidRDefault="00403958" w:rsidP="00403958">
      <w:pPr>
        <w:rPr>
          <w:b/>
          <w:bCs/>
        </w:rPr>
      </w:pPr>
      <w:r w:rsidRPr="00403958">
        <w:rPr>
          <w:b/>
          <w:bCs/>
        </w:rPr>
        <w:t>What assessment method(s) will be used in the project?</w:t>
      </w:r>
    </w:p>
    <w:p w14:paraId="7BBCF6FC" w14:textId="77777777" w:rsidR="00403958" w:rsidRDefault="00403958" w:rsidP="00403958">
      <w:r>
        <w:t>Preliminary work for this project has been conducted, including a needs assessment through informal interviews with all stakeholders, and review of curricular templates and student evaluations from all sessions in 2024. This needs assessment identiﬁed the need for determining student conﬁdence, comfort, and proﬁciency performing the skills taught in the curriculum and for improvement in evaluations.</w:t>
      </w:r>
    </w:p>
    <w:p w14:paraId="2AA62ED0" w14:textId="2D6D2015" w:rsidR="00403958" w:rsidRDefault="00403958" w:rsidP="00403958">
      <w:r>
        <w:t xml:space="preserve">A pre-survey will be developed on the objectives of the 3-session cadaver curriculum to measure student conﬁdence and comfort level in independently performing the technical skills and distributed to students prior to the course. Tailored session evaluations will be developed based on each session’s procedural objectives to determine whether they have </w:t>
      </w:r>
      <w:r>
        <w:lastRenderedPageBreak/>
        <w:t>been met, including relevant session questions from the pre-survey measuring conﬁdence and comfort in performing the tasks independently.</w:t>
      </w:r>
    </w:p>
    <w:p w14:paraId="445E98C9" w14:textId="77777777" w:rsidR="00403958" w:rsidRDefault="00403958" w:rsidP="00403958">
      <w:r>
        <w:t>To determine the level of proﬁciency gained, suturing skills will be assessed live at the end of the course using formal rubrics, both from the ACS/APDS/ASE Residency Prep Curriculum and internal rubrics used for verifying general surgery intern technical skills proﬁciency. To evaluate procedural knowledge, students will also be asked to submit written procedural steps for abscess incision and drainage, as well as lipoma/cyst excisions to be scored against a developed rubric.</w:t>
      </w:r>
    </w:p>
    <w:p w14:paraId="7C182BD6" w14:textId="77777777" w:rsidR="00403958" w:rsidRPr="00403958" w:rsidRDefault="00403958" w:rsidP="00403958">
      <w:pPr>
        <w:rPr>
          <w:b/>
          <w:bCs/>
        </w:rPr>
      </w:pPr>
      <w:r w:rsidRPr="00403958">
        <w:rPr>
          <w:b/>
          <w:bCs/>
        </w:rPr>
        <w:t>What data analysis approaches will be employed?</w:t>
      </w:r>
    </w:p>
    <w:p w14:paraId="4656A242" w14:textId="77777777" w:rsidR="00403958" w:rsidRDefault="00403958" w:rsidP="00403958">
      <w:r>
        <w:t>This program evaluation will utilize a mixed-methods approach. Quantitative data will be obtained in the pre-test survey and post-session evaluation with students rating their comfort level and conﬁdence performing technical skills at the level of an intern, with paired t-testing to examine for any signiﬁcant changes in self-reported scores. Descriptive statistics of students achieving proﬁciency in suturing skills and scores for written evaluations of procedural steps will be performed. Qualitative methods will include rapid thematic analysis to be conducted on narrative comments provided in post-session evaluations to identify broad themes for improvement and on written procedural steps to identify patterns of what students may or may not include.</w:t>
      </w:r>
    </w:p>
    <w:p w14:paraId="049B9F03" w14:textId="77777777" w:rsidR="00403958" w:rsidRPr="00403958" w:rsidRDefault="00403958" w:rsidP="00403958">
      <w:pPr>
        <w:rPr>
          <w:b/>
          <w:bCs/>
        </w:rPr>
      </w:pPr>
      <w:r w:rsidRPr="00403958">
        <w:rPr>
          <w:b/>
          <w:bCs/>
        </w:rPr>
        <w:t>In what ways has the project design and the strategies operationalized supported responsiveness to the needs of groups that may experience limited access and ensured that participation and outcomes were not unevenly distributed across groups?</w:t>
      </w:r>
    </w:p>
    <w:p w14:paraId="612FF22E" w14:textId="77777777" w:rsidR="00403958" w:rsidRDefault="00403958" w:rsidP="00403958">
      <w:r>
        <w:t>While the course is targeted for students who have applied to surgical sub/specialty residencies, any MS4 can elect to take the course and would be eligible for participation in this study. Additionally, all curricular stakeholder perspectives were included in the needs assessment, including course directors, surgical education fellows who provide instruction, interns who were previous participants, IU surgery residency program leadership who may matriculate a course participant, and skills lab sta</w:t>
      </w:r>
      <w:r>
        <w:rPr>
          <w:rFonts w:ascii="Arial" w:hAnsi="Arial" w:cs="Arial"/>
        </w:rPr>
        <w:t>ﬀ</w:t>
      </w:r>
      <w:r>
        <w:t xml:space="preserve"> who prepare the cadavers. Inclusion of these perspectives will ensure the diverse needs of stakeholders are included in the reﬁnement of this curriculum.</w:t>
      </w:r>
    </w:p>
    <w:p w14:paraId="25B38E26" w14:textId="67E07540" w:rsidR="00403958" w:rsidRDefault="00403958" w:rsidP="00403958">
      <w:r>
        <w:t>Curricular materials are ﬁrst presented via Powerpoint didactics in the lab, followed by individual skills practice. Given students with auditory or visual processing disorders may have di</w:t>
      </w:r>
      <w:r>
        <w:rPr>
          <w:rFonts w:ascii="Arial" w:hAnsi="Arial" w:cs="Arial"/>
        </w:rPr>
        <w:t>ﬃ</w:t>
      </w:r>
      <w:r>
        <w:t>culty absorbing the information in this setting, the materials are also provided in an asynchronous fashion for pre-review, as well as visual handouts with instructions for students to use independently to continue progressing through the curriculum in real time.</w:t>
      </w:r>
    </w:p>
    <w:p w14:paraId="74611ABF" w14:textId="77777777" w:rsidR="00403958" w:rsidRDefault="00403958" w:rsidP="00403958">
      <w:r>
        <w:lastRenderedPageBreak/>
        <w:t>Lastly, students may progress at di</w:t>
      </w:r>
      <w:r>
        <w:rPr>
          <w:rFonts w:ascii="Arial" w:hAnsi="Arial" w:cs="Arial"/>
        </w:rPr>
        <w:t>ﬀ</w:t>
      </w:r>
      <w:r>
        <w:t>erent rates given their pre-existing technical skills. Education fellows and course directors circulate during the lab to give individualized technical instruction and ensure students have equitable access to improving their skills.</w:t>
      </w:r>
    </w:p>
    <w:p w14:paraId="4C4C1483" w14:textId="77777777" w:rsidR="00403958" w:rsidRPr="00403958" w:rsidRDefault="00403958" w:rsidP="00403958">
      <w:pPr>
        <w:rPr>
          <w:b/>
          <w:bCs/>
        </w:rPr>
      </w:pPr>
      <w:r w:rsidRPr="00403958">
        <w:rPr>
          <w:b/>
          <w:bCs/>
        </w:rPr>
        <w:t>How will the project be evaluated and what dissemination methods will be used?</w:t>
      </w:r>
    </w:p>
    <w:p w14:paraId="1DBBBAA3" w14:textId="77777777" w:rsidR="00403958" w:rsidRDefault="00403958" w:rsidP="00403958">
      <w:r>
        <w:t>This program evaluation will be conducted via Kern’s 6-step framework of program evaluation, with general and targeted needs assessments having been conducted as preliminary work for this project. The ﬁndings of this study will be disseminated to course directors, education fellows, residency program leadership and skills lab sta</w:t>
      </w:r>
      <w:r>
        <w:rPr>
          <w:rFonts w:ascii="Arial" w:hAnsi="Arial" w:cs="Arial"/>
        </w:rPr>
        <w:t>ﬀ</w:t>
      </w:r>
      <w:r>
        <w:t xml:space="preserve"> after completion to summarize </w:t>
      </w:r>
      <w:r>
        <w:rPr>
          <w:rFonts w:ascii="Aptos" w:hAnsi="Aptos" w:cs="Aptos"/>
        </w:rPr>
        <w:t>ﬁ</w:t>
      </w:r>
      <w:r>
        <w:t>ndings and delineate areas to target for further improvement in the future. The evaluation process will also be performed as part of a work of scholarship to be published in a peer-reviewed manuscript and disseminated broadly, to describe the novel method in which some of the skills are taught, as well as the process and ﬁndings of evaluating the e</w:t>
      </w:r>
      <w:r>
        <w:rPr>
          <w:rFonts w:ascii="Arial" w:hAnsi="Arial" w:cs="Arial"/>
        </w:rPr>
        <w:t>ﬀ</w:t>
      </w:r>
      <w:r>
        <w:t>ectiveness of the curriculum. This can highlight the e</w:t>
      </w:r>
      <w:r>
        <w:rPr>
          <w:rFonts w:ascii="Arial" w:hAnsi="Arial" w:cs="Arial"/>
        </w:rPr>
        <w:t>ﬃ</w:t>
      </w:r>
      <w:r>
        <w:t>cacy of the curriculum in developing pro</w:t>
      </w:r>
      <w:r>
        <w:rPr>
          <w:rFonts w:ascii="Aptos" w:hAnsi="Aptos" w:cs="Aptos"/>
        </w:rPr>
        <w:t>ﬁ</w:t>
      </w:r>
      <w:r>
        <w:t>ciency of rising interns and will allow for other institutions to bene</w:t>
      </w:r>
      <w:r>
        <w:rPr>
          <w:rFonts w:ascii="Aptos" w:hAnsi="Aptos" w:cs="Aptos"/>
        </w:rPr>
        <w:t>ﬁ</w:t>
      </w:r>
      <w:r>
        <w:t>t from being able to adapt and implement this curriculum in their MS4 TTR programs. Broad dissemination will also reinforce our institution</w:t>
      </w:r>
      <w:r>
        <w:rPr>
          <w:rFonts w:ascii="Aptos" w:hAnsi="Aptos" w:cs="Aptos"/>
        </w:rPr>
        <w:t>’</w:t>
      </w:r>
      <w:r>
        <w:t>s position of being at the forefront of surgical education and instruction.</w:t>
      </w:r>
    </w:p>
    <w:p w14:paraId="45F3B8E9" w14:textId="77777777" w:rsidR="00403958" w:rsidRPr="00403958" w:rsidRDefault="00403958" w:rsidP="00403958">
      <w:pPr>
        <w:rPr>
          <w:b/>
          <w:bCs/>
        </w:rPr>
      </w:pPr>
      <w:r w:rsidRPr="00403958">
        <w:rPr>
          <w:b/>
          <w:bCs/>
        </w:rPr>
        <w:t>What are the intended uses of ﬁndings for program improvement?</w:t>
      </w:r>
    </w:p>
    <w:p w14:paraId="3209973D" w14:textId="77777777" w:rsidR="00403958" w:rsidRDefault="00403958" w:rsidP="00403958">
      <w:r>
        <w:t>The ﬁndings for this program will be used to improve the curriculum for future iterations, and may reinforce the beneﬁt of and/or justify utilizing high-cost resources for this curriculum. Additionally, our improvements may be used as a template for external institutions in adapting our novel methods to their own TTR skills courses, while also providing a methodologically sound approach to program evaluation and curricular improvement.</w:t>
      </w:r>
    </w:p>
    <w:p w14:paraId="34FBDBC6" w14:textId="77777777" w:rsidR="00403958" w:rsidRPr="00403958" w:rsidRDefault="00403958" w:rsidP="00403958">
      <w:pPr>
        <w:rPr>
          <w:b/>
          <w:bCs/>
        </w:rPr>
      </w:pPr>
      <w:r w:rsidRPr="00403958">
        <w:rPr>
          <w:b/>
          <w:bCs/>
        </w:rPr>
        <w:t>Provide a simple budget how the grant money will be spent and a justiﬁcation for the amount requested.</w:t>
      </w:r>
    </w:p>
    <w:p w14:paraId="3D2B01E3" w14:textId="77777777" w:rsidR="00403958" w:rsidRDefault="00403958" w:rsidP="00403958">
      <w:r>
        <w:t>Amount Requested: $5,000</w:t>
      </w:r>
    </w:p>
    <w:p w14:paraId="75A81019" w14:textId="5BB07EF4" w:rsidR="00403958" w:rsidRDefault="00403958" w:rsidP="00403958">
      <w:r>
        <w:t>Grant funds will be used in two ways: 1. Approximately $800 will be used to subsidize consumable materials required to run the course, including detergent pods, foam balls, candy, suture, surgical staplers, etc. 2. Approximately $4,200 will be used to support a surgical education fellow in implementing the curricular reﬁnements, conducting data analysis, and manuscript writing for broad dissemination.</w:t>
      </w:r>
    </w:p>
    <w:p w14:paraId="38CAA3BD" w14:textId="14594FB4" w:rsidR="00AF4FE3" w:rsidRPr="00403958" w:rsidRDefault="00403958" w:rsidP="00403958">
      <w:pPr>
        <w:rPr>
          <w:b/>
          <w:bCs/>
        </w:rPr>
      </w:pPr>
      <w:r w:rsidRPr="00403958">
        <w:rPr>
          <w:b/>
          <w:bCs/>
        </w:rPr>
        <w:t>Additional Documents:</w:t>
      </w:r>
      <w:r>
        <w:rPr>
          <w:b/>
          <w:bCs/>
        </w:rPr>
        <w:t xml:space="preserve"> References and Support Letter</w:t>
      </w:r>
    </w:p>
    <w:sectPr w:rsidR="00AF4FE3" w:rsidRPr="0040395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EBFF" w14:textId="77777777" w:rsidR="005531E7" w:rsidRDefault="005531E7" w:rsidP="002A5BB8">
      <w:pPr>
        <w:spacing w:after="0" w:line="240" w:lineRule="auto"/>
      </w:pPr>
      <w:r>
        <w:separator/>
      </w:r>
    </w:p>
  </w:endnote>
  <w:endnote w:type="continuationSeparator" w:id="0">
    <w:p w14:paraId="402DE416" w14:textId="77777777" w:rsidR="005531E7" w:rsidRDefault="005531E7" w:rsidP="002A5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19009"/>
      <w:docPartObj>
        <w:docPartGallery w:val="Page Numbers (Bottom of Page)"/>
        <w:docPartUnique/>
      </w:docPartObj>
    </w:sdtPr>
    <w:sdtEndPr>
      <w:rPr>
        <w:noProof/>
      </w:rPr>
    </w:sdtEndPr>
    <w:sdtContent>
      <w:p w14:paraId="73BF9543" w14:textId="58C003F8" w:rsidR="002A5BB8" w:rsidRDefault="002A5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7E632" w14:textId="77777777" w:rsidR="002A5BB8" w:rsidRDefault="002A5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17D5" w14:textId="77777777" w:rsidR="005531E7" w:rsidRDefault="005531E7" w:rsidP="002A5BB8">
      <w:pPr>
        <w:spacing w:after="0" w:line="240" w:lineRule="auto"/>
      </w:pPr>
      <w:r>
        <w:separator/>
      </w:r>
    </w:p>
  </w:footnote>
  <w:footnote w:type="continuationSeparator" w:id="0">
    <w:p w14:paraId="3CAFC97D" w14:textId="77777777" w:rsidR="005531E7" w:rsidRDefault="005531E7" w:rsidP="002A5B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58"/>
    <w:rsid w:val="0015289D"/>
    <w:rsid w:val="00232682"/>
    <w:rsid w:val="002A5BB8"/>
    <w:rsid w:val="002B6570"/>
    <w:rsid w:val="003E2AF7"/>
    <w:rsid w:val="00403958"/>
    <w:rsid w:val="005531E7"/>
    <w:rsid w:val="006C1D7D"/>
    <w:rsid w:val="00A10807"/>
    <w:rsid w:val="00AF4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1C17"/>
  <w15:chartTrackingRefBased/>
  <w15:docId w15:val="{899DBF80-AD94-4CFF-885D-D0391D9D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958"/>
    <w:rPr>
      <w:rFonts w:eastAsiaTheme="majorEastAsia" w:cstheme="majorBidi"/>
      <w:color w:val="272727" w:themeColor="text1" w:themeTint="D8"/>
    </w:rPr>
  </w:style>
  <w:style w:type="paragraph" w:styleId="Title">
    <w:name w:val="Title"/>
    <w:basedOn w:val="Normal"/>
    <w:next w:val="Normal"/>
    <w:link w:val="TitleChar"/>
    <w:uiPriority w:val="10"/>
    <w:qFormat/>
    <w:rsid w:val="00403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958"/>
    <w:pPr>
      <w:spacing w:before="160"/>
      <w:jc w:val="center"/>
    </w:pPr>
    <w:rPr>
      <w:i/>
      <w:iCs/>
      <w:color w:val="404040" w:themeColor="text1" w:themeTint="BF"/>
    </w:rPr>
  </w:style>
  <w:style w:type="character" w:customStyle="1" w:styleId="QuoteChar">
    <w:name w:val="Quote Char"/>
    <w:basedOn w:val="DefaultParagraphFont"/>
    <w:link w:val="Quote"/>
    <w:uiPriority w:val="29"/>
    <w:rsid w:val="00403958"/>
    <w:rPr>
      <w:i/>
      <w:iCs/>
      <w:color w:val="404040" w:themeColor="text1" w:themeTint="BF"/>
    </w:rPr>
  </w:style>
  <w:style w:type="paragraph" w:styleId="ListParagraph">
    <w:name w:val="List Paragraph"/>
    <w:basedOn w:val="Normal"/>
    <w:uiPriority w:val="34"/>
    <w:qFormat/>
    <w:rsid w:val="00403958"/>
    <w:pPr>
      <w:ind w:left="720"/>
      <w:contextualSpacing/>
    </w:pPr>
  </w:style>
  <w:style w:type="character" w:styleId="IntenseEmphasis">
    <w:name w:val="Intense Emphasis"/>
    <w:basedOn w:val="DefaultParagraphFont"/>
    <w:uiPriority w:val="21"/>
    <w:qFormat/>
    <w:rsid w:val="00403958"/>
    <w:rPr>
      <w:i/>
      <w:iCs/>
      <w:color w:val="0F4761" w:themeColor="accent1" w:themeShade="BF"/>
    </w:rPr>
  </w:style>
  <w:style w:type="paragraph" w:styleId="IntenseQuote">
    <w:name w:val="Intense Quote"/>
    <w:basedOn w:val="Normal"/>
    <w:next w:val="Normal"/>
    <w:link w:val="IntenseQuoteChar"/>
    <w:uiPriority w:val="30"/>
    <w:qFormat/>
    <w:rsid w:val="00403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958"/>
    <w:rPr>
      <w:i/>
      <w:iCs/>
      <w:color w:val="0F4761" w:themeColor="accent1" w:themeShade="BF"/>
    </w:rPr>
  </w:style>
  <w:style w:type="character" w:styleId="IntenseReference">
    <w:name w:val="Intense Reference"/>
    <w:basedOn w:val="DefaultParagraphFont"/>
    <w:uiPriority w:val="32"/>
    <w:qFormat/>
    <w:rsid w:val="00403958"/>
    <w:rPr>
      <w:b/>
      <w:bCs/>
      <w:smallCaps/>
      <w:color w:val="0F4761" w:themeColor="accent1" w:themeShade="BF"/>
      <w:spacing w:val="5"/>
    </w:rPr>
  </w:style>
  <w:style w:type="paragraph" w:styleId="Header">
    <w:name w:val="header"/>
    <w:basedOn w:val="Normal"/>
    <w:link w:val="HeaderChar"/>
    <w:uiPriority w:val="99"/>
    <w:unhideWhenUsed/>
    <w:rsid w:val="002A5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B8"/>
  </w:style>
  <w:style w:type="paragraph" w:styleId="Footer">
    <w:name w:val="footer"/>
    <w:basedOn w:val="Normal"/>
    <w:link w:val="FooterChar"/>
    <w:uiPriority w:val="99"/>
    <w:unhideWhenUsed/>
    <w:rsid w:val="002A5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1510</Words>
  <Characters>8608</Characters>
  <Application>Microsoft Office Word</Application>
  <DocSecurity>0</DocSecurity>
  <Lines>71</Lines>
  <Paragraphs>20</Paragraphs>
  <ScaleCrop>false</ScaleCrop>
  <Company>Indiana University</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Rao, Anusha</dc:creator>
  <cp:keywords/>
  <dc:description/>
  <cp:lastModifiedBy>S Rao, Anusha</cp:lastModifiedBy>
  <cp:revision>5</cp:revision>
  <dcterms:created xsi:type="dcterms:W3CDTF">2026-01-20T19:41:00Z</dcterms:created>
  <dcterms:modified xsi:type="dcterms:W3CDTF">2026-01-20T19:49:00Z</dcterms:modified>
</cp:coreProperties>
</file>