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9174" w14:textId="787D3B64" w:rsidR="004046C5" w:rsidRPr="004046C5" w:rsidRDefault="004046C5" w:rsidP="004046C5">
      <w:pPr>
        <w:rPr>
          <w:b/>
          <w:bCs/>
        </w:rPr>
      </w:pPr>
      <w:r w:rsidRPr="004046C5">
        <w:rPr>
          <w:b/>
          <w:bCs/>
        </w:rPr>
        <w:t>PRAC Grant Proposal</w:t>
      </w:r>
    </w:p>
    <w:p w14:paraId="6E801B18" w14:textId="77777777" w:rsidR="004046C5" w:rsidRPr="004046C5" w:rsidRDefault="004046C5" w:rsidP="004046C5">
      <w:pPr>
        <w:rPr>
          <w:b/>
          <w:bCs/>
        </w:rPr>
      </w:pPr>
      <w:r w:rsidRPr="004046C5">
        <w:rPr>
          <w:b/>
          <w:bCs/>
        </w:rPr>
        <w:t>Project Title: Evaluating DAT Validity: Data-Driven Strategies for Student Success</w:t>
      </w:r>
    </w:p>
    <w:p w14:paraId="26A9DBCB" w14:textId="4A81F04F" w:rsidR="004046C5" w:rsidRDefault="004046C5" w:rsidP="004046C5">
      <w:r>
        <w:t>Submitted By: David Zahl [dzahl@iu.edu]</w:t>
      </w:r>
    </w:p>
    <w:p w14:paraId="5D61CD9E" w14:textId="77777777" w:rsidR="004046C5" w:rsidRDefault="004046C5" w:rsidP="004046C5">
      <w:r>
        <w:t>School: School of Dentistry</w:t>
      </w:r>
    </w:p>
    <w:p w14:paraId="023CCAE9" w14:textId="77777777" w:rsidR="00535503" w:rsidRDefault="004046C5" w:rsidP="004046C5">
      <w:r>
        <w:t xml:space="preserve">Department: Comprehensive Care and Allied Professions </w:t>
      </w:r>
    </w:p>
    <w:p w14:paraId="0C19FC32" w14:textId="274AF8F0" w:rsidR="004046C5" w:rsidRDefault="004046C5" w:rsidP="004046C5">
      <w:r>
        <w:t>Project Period (month/year): 3/2025 - 3/2026</w:t>
      </w:r>
    </w:p>
    <w:p w14:paraId="1CCD9008" w14:textId="77777777" w:rsidR="004046C5" w:rsidRDefault="004046C5" w:rsidP="004046C5">
      <w:r>
        <w:t xml:space="preserve">Amount Requested: $5,000.00 </w:t>
      </w:r>
    </w:p>
    <w:p w14:paraId="5BECBCD0" w14:textId="75ECE9AD" w:rsidR="004046C5" w:rsidRPr="004046C5" w:rsidRDefault="004046C5" w:rsidP="004046C5">
      <w:pPr>
        <w:rPr>
          <w:b/>
          <w:bCs/>
        </w:rPr>
      </w:pPr>
      <w:r w:rsidRPr="004046C5">
        <w:rPr>
          <w:b/>
          <w:bCs/>
        </w:rPr>
        <w:t>Abstract:</w:t>
      </w:r>
    </w:p>
    <w:p w14:paraId="24146FAD" w14:textId="77777777" w:rsidR="004046C5" w:rsidRDefault="004046C5" w:rsidP="004046C5">
      <w:r>
        <w:t>This proposal seeks funding to conduct a comparative analysis of Dental Admission Test (DAT) validity data from the Indiana University School of Dentistry (IUSD) with the ﬁndings of the American Dental Association's (ADA) DAT 2021 Validity Study (2018-2020 Data). The study aims to investigate the correlation between DAT scores, pre-dental GPAs, and academic performance in the dental education curriculum and compare these outcomes with national trends. By utilizing the same methods as the ADA study, the research aims to contribute to the ongoing discourse on DAT validity, inform admissions practices, and support student learning and academic achievement in the dental school.</w:t>
      </w:r>
    </w:p>
    <w:p w14:paraId="3F0CF9D8" w14:textId="77777777" w:rsidR="004046C5" w:rsidRPr="004046C5" w:rsidRDefault="004046C5" w:rsidP="004046C5">
      <w:pPr>
        <w:rPr>
          <w:b/>
          <w:bCs/>
        </w:rPr>
      </w:pPr>
      <w:r w:rsidRPr="004046C5">
        <w:rPr>
          <w:b/>
          <w:bCs/>
        </w:rPr>
        <w:t>What is the purpose of the project?</w:t>
      </w:r>
    </w:p>
    <w:p w14:paraId="6FD99D92" w14:textId="77777777" w:rsidR="004046C5" w:rsidRDefault="004046C5" w:rsidP="004046C5">
      <w:r>
        <w:t>This project aims to evaluate the validity of DAT scores as predictors of academic success in dental school by comparing IUSD data to ﬁndings from the ADA’s 2021 DAT Validity Study. Speciﬁcally, it will examine the relationship between DAT scores, pre-dental GPAs, and dental school GPAs in biomedical, preclinical, and clinical sciences across three academic years (2020-2023). This comparative analysis seeks to identify key similarities and di</w:t>
      </w:r>
      <w:r>
        <w:rPr>
          <w:rFonts w:ascii="Arial" w:hAnsi="Arial" w:cs="Arial"/>
        </w:rPr>
        <w:t>ﬀ</w:t>
      </w:r>
      <w:r>
        <w:t>erences between IUSD and national trends.</w:t>
      </w:r>
    </w:p>
    <w:p w14:paraId="0A7EDC88" w14:textId="77777777" w:rsidR="004046C5" w:rsidRDefault="004046C5" w:rsidP="004046C5">
      <w:r>
        <w:t>The DAT, designed to assess applicants’ potential for success, includes four sections: Natural Sciences, Perceptual Ability, Reading Comprehension, and Quantitative Reasoning. Prior research suggests DAT scores and undergraduate GPAs are strong predictors of dental school performance. The ADA’s study found that these metrics, particularly when considered together, enhance predictive power. Plou</w:t>
      </w:r>
      <w:r>
        <w:rPr>
          <w:rFonts w:ascii="Arial" w:hAnsi="Arial" w:cs="Arial"/>
        </w:rPr>
        <w:t>ﬀ</w:t>
      </w:r>
      <w:r>
        <w:t>e et al. (2018) highlighted the signi</w:t>
      </w:r>
      <w:r>
        <w:rPr>
          <w:rFonts w:ascii="Aptos" w:hAnsi="Aptos" w:cs="Aptos"/>
        </w:rPr>
        <w:t>ﬁ</w:t>
      </w:r>
      <w:r>
        <w:t>cance of pre-dental GPAs and DAT chemistry scores in identifying high-performing students. Conversely, Curtis et al. (2007) found that DAT academic averages and perceptual ability scores were weak predictors of GPA.</w:t>
      </w:r>
    </w:p>
    <w:p w14:paraId="3FDF15DD" w14:textId="77777777" w:rsidR="004046C5" w:rsidRDefault="004046C5" w:rsidP="004046C5">
      <w:r>
        <w:t xml:space="preserve"> </w:t>
      </w:r>
    </w:p>
    <w:p w14:paraId="6C568B8F" w14:textId="77777777" w:rsidR="004046C5" w:rsidRDefault="004046C5" w:rsidP="004046C5">
      <w:r>
        <w:lastRenderedPageBreak/>
        <w:t>This project will provide insights into how IUSD’s admissions metrics correlate with student success, contributing to a broader understanding of DAT’s predictive validity and informing future admissions strategies.</w:t>
      </w:r>
    </w:p>
    <w:p w14:paraId="4F34E9B4" w14:textId="77777777" w:rsidR="004046C5" w:rsidRPr="004046C5" w:rsidRDefault="004046C5" w:rsidP="004046C5">
      <w:pPr>
        <w:rPr>
          <w:b/>
          <w:bCs/>
        </w:rPr>
      </w:pPr>
      <w:r w:rsidRPr="004046C5">
        <w:rPr>
          <w:b/>
          <w:bCs/>
        </w:rPr>
        <w:t>What are the intended outcomes of the project?</w:t>
      </w:r>
    </w:p>
    <w:p w14:paraId="57B7EEB2" w14:textId="77777777" w:rsidR="004046C5" w:rsidRDefault="004046C5" w:rsidP="004046C5">
      <w:pPr>
        <w:pStyle w:val="ListParagraph"/>
        <w:numPr>
          <w:ilvl w:val="0"/>
          <w:numId w:val="1"/>
        </w:numPr>
      </w:pPr>
      <w:r>
        <w:t>Assess the correlation between DAT scores, pre-dental GPAs, and dental school performance of ﬁrst- and second-year dental students enrolled at IU School of Dentistry during academic years 2020-2021, 2021-2022, 2022-2023, 2023-24.</w:t>
      </w:r>
    </w:p>
    <w:p w14:paraId="3BA56C1E" w14:textId="77777777" w:rsidR="004046C5" w:rsidRDefault="004046C5" w:rsidP="004046C5">
      <w:pPr>
        <w:pStyle w:val="ListParagraph"/>
        <w:numPr>
          <w:ilvl w:val="0"/>
          <w:numId w:val="1"/>
        </w:numPr>
      </w:pPr>
      <w:r>
        <w:t>Identify any variations in DAT validity data between the institution and national trends.</w:t>
      </w:r>
    </w:p>
    <w:p w14:paraId="5C7E604C" w14:textId="77777777" w:rsidR="004046C5" w:rsidRDefault="004046C5" w:rsidP="004046C5">
      <w:pPr>
        <w:pStyle w:val="ListParagraph"/>
        <w:numPr>
          <w:ilvl w:val="0"/>
          <w:numId w:val="1"/>
        </w:numPr>
      </w:pPr>
      <w:r>
        <w:t>Provide evidence-based insights for reﬁning admissions criteria and enhancing student selection processes in the dental school.</w:t>
      </w:r>
    </w:p>
    <w:p w14:paraId="4AE306BF" w14:textId="08C3D992" w:rsidR="004046C5" w:rsidRDefault="004046C5" w:rsidP="004046C5">
      <w:pPr>
        <w:pStyle w:val="ListParagraph"/>
        <w:numPr>
          <w:ilvl w:val="0"/>
          <w:numId w:val="1"/>
        </w:numPr>
      </w:pPr>
      <w:r>
        <w:t>Develop programming to support students who are at greater risk for academic deﬁciencies in the predoctoral program</w:t>
      </w:r>
    </w:p>
    <w:p w14:paraId="0286A881" w14:textId="77777777" w:rsidR="004046C5" w:rsidRPr="004046C5" w:rsidRDefault="004046C5" w:rsidP="004046C5">
      <w:pPr>
        <w:rPr>
          <w:b/>
          <w:bCs/>
        </w:rPr>
      </w:pPr>
      <w:r w:rsidRPr="004046C5">
        <w:rPr>
          <w:b/>
          <w:bCs/>
        </w:rPr>
        <w:t>What assessment method(s) will be used in the project?</w:t>
      </w:r>
    </w:p>
    <w:p w14:paraId="02FB0B8C" w14:textId="77777777" w:rsidR="004046C5" w:rsidRDefault="004046C5" w:rsidP="004046C5">
      <w:r>
        <w:t>This retrospective study will include the analysis of IUSD data submitted as part of the ADA’s DAT validity study. While the most recent report of the DAT validity study includes data from 2018-2020, the analysis will include data submitted from 2020-2024, which will allow assessment of more current data against the national trends in the report.</w:t>
      </w:r>
    </w:p>
    <w:p w14:paraId="1E44F9E2" w14:textId="77777777" w:rsidR="004046C5" w:rsidRDefault="004046C5" w:rsidP="004046C5">
      <w:r>
        <w:t xml:space="preserve">Annually, IUSD contributes to the DAT validity study by submitting data for ﬁrst- and second-year cohorts. Students are de-identiﬁed using their DENTPIN number, a unique identiﬁer used in the dental school admissions process. Pre-dental total GPA (4.0 scale), pre-dental science GPA (4.0 scale), and DAT section scores are collected from admissions records. The pre-dental GPA and DAT data are linked to dental school total GPA and GPAs in biomedical, preclinical dental, and clinical sciences courses. IUSD dental school courses are categorized into these three broad areas, and GPAs are calculated. </w:t>
      </w:r>
    </w:p>
    <w:p w14:paraId="009B9AB2" w14:textId="3EFA2AB3" w:rsidR="004046C5" w:rsidRDefault="004046C5" w:rsidP="004046C5">
      <w:r>
        <w:t>The ADA analyzes these data using a meta-analytic approach developed by Hunter and Schmidt (1990) to synthesize ﬁndings across participating dental schools.5 The study will use the data analysis approach described below, which is recommended by the ADA for analyzing data from a single school.</w:t>
      </w:r>
    </w:p>
    <w:p w14:paraId="6C8A48B2" w14:textId="77777777" w:rsidR="004046C5" w:rsidRPr="004046C5" w:rsidRDefault="004046C5" w:rsidP="004046C5">
      <w:pPr>
        <w:rPr>
          <w:b/>
          <w:bCs/>
        </w:rPr>
      </w:pPr>
      <w:r w:rsidRPr="004046C5">
        <w:rPr>
          <w:b/>
          <w:bCs/>
        </w:rPr>
        <w:t>What data analysis approaches will be employed?</w:t>
      </w:r>
    </w:p>
    <w:p w14:paraId="4AE428D7" w14:textId="233AD4D2" w:rsidR="004046C5" w:rsidRDefault="004046C5" w:rsidP="004046C5">
      <w:r>
        <w:t>The data analysis approach will mirror that of the ADA's DAT 2021 Validity Study. This includes analyzing Pearson product-moment correlation coe</w:t>
      </w:r>
      <w:r>
        <w:rPr>
          <w:rFonts w:ascii="Arial" w:hAnsi="Arial" w:cs="Arial"/>
        </w:rPr>
        <w:t>ﬃ</w:t>
      </w:r>
      <w:r>
        <w:t>cients (r) and squared multiple correlation coe</w:t>
      </w:r>
      <w:r>
        <w:rPr>
          <w:rFonts w:ascii="Arial" w:hAnsi="Arial" w:cs="Arial"/>
        </w:rPr>
        <w:t>ﬃ</w:t>
      </w:r>
      <w:r>
        <w:t xml:space="preserve">cients (R2) to examine the relationship between DAT scores, pre-dental GPAs, and dental school performance. Standard multiple regressions will be </w:t>
      </w:r>
      <w:r>
        <w:lastRenderedPageBreak/>
        <w:t>employed to assess the predictive validity of DAT scores for academic success in the biomedical, preclinical, and clinical portions of the curriculum. Data from academic years 2020-2021, 2021-2022, and 2022-2023 will be analyzed to identify any longitudinal trends or variations in DAT validity data.</w:t>
      </w:r>
    </w:p>
    <w:p w14:paraId="2DFF8CC2" w14:textId="77777777" w:rsidR="004046C5" w:rsidRPr="004046C5" w:rsidRDefault="004046C5" w:rsidP="004046C5">
      <w:pPr>
        <w:rPr>
          <w:b/>
          <w:bCs/>
        </w:rPr>
      </w:pPr>
      <w:r w:rsidRPr="004046C5">
        <w:rPr>
          <w:b/>
          <w:bCs/>
        </w:rPr>
        <w:t>In what ways has the project design and the strategies operationalized supported responsiveness to the needs of groups that may experience limited access and ensured that participation and outcomes were not unevenly distributed across groups?</w:t>
      </w:r>
    </w:p>
    <w:p w14:paraId="3FC7C159" w14:textId="77777777" w:rsidR="004046C5" w:rsidRDefault="004046C5" w:rsidP="004046C5">
      <w:r>
        <w:t>From an admissions perspective, by using ﬁndings of this study to identify strengths and areas for improvement in admissions practices, the aim is to enhance the overall quality and diversity of the dental student body. Findings will guide evidence-based decision-making and facilitate ongoing e</w:t>
      </w:r>
      <w:r>
        <w:rPr>
          <w:rFonts w:ascii="Arial" w:hAnsi="Arial" w:cs="Arial"/>
        </w:rPr>
        <w:t>ﬀ</w:t>
      </w:r>
      <w:r>
        <w:t>orts to promote equity, diversity, and inclusion. Furthermore, targeted, learner-speci</w:t>
      </w:r>
      <w:r>
        <w:rPr>
          <w:rFonts w:ascii="Aptos" w:hAnsi="Aptos" w:cs="Aptos"/>
        </w:rPr>
        <w:t>ﬁ</w:t>
      </w:r>
      <w:r>
        <w:t>c educational support resources will be developed to support those students who may be most at risk for academic de</w:t>
      </w:r>
      <w:r>
        <w:rPr>
          <w:rFonts w:ascii="Aptos" w:hAnsi="Aptos" w:cs="Aptos"/>
        </w:rPr>
        <w:t>ﬁ</w:t>
      </w:r>
      <w:r>
        <w:t>ciency.</w:t>
      </w:r>
    </w:p>
    <w:p w14:paraId="5E5ECD1B" w14:textId="77777777" w:rsidR="004046C5" w:rsidRPr="004046C5" w:rsidRDefault="004046C5" w:rsidP="004046C5">
      <w:pPr>
        <w:rPr>
          <w:b/>
          <w:bCs/>
        </w:rPr>
      </w:pPr>
      <w:r w:rsidRPr="004046C5">
        <w:rPr>
          <w:b/>
          <w:bCs/>
        </w:rPr>
        <w:t xml:space="preserve">How will the project be evaluated and what dissemination methods will be used? </w:t>
      </w:r>
    </w:p>
    <w:p w14:paraId="6D51491F" w14:textId="5733194F" w:rsidR="004046C5" w:rsidRDefault="004046C5" w:rsidP="004046C5">
      <w:r>
        <w:t>Funding of this project will provide resources to collaborate with a statistician to ensure methodologically sound analysis of the data. A comprehensive report detailing the ﬁndings and implications for admissions practices will be disseminated to the IUPUI Program Review and Assessment Committee and relevant stakeholders within the school. Additionally, ﬁndings will be presented at the American Dental Education Association (ADEA) Annual Session and submitted for publication to the Journal of Dental Education. This project will beneﬁt the Program Review and Assessment Committee and the larger IUPUI community by providing documentation of ongoing assessment practices.</w:t>
      </w:r>
    </w:p>
    <w:p w14:paraId="626F29A3" w14:textId="77777777" w:rsidR="004046C5" w:rsidRPr="004046C5" w:rsidRDefault="004046C5" w:rsidP="004046C5">
      <w:pPr>
        <w:rPr>
          <w:b/>
          <w:bCs/>
        </w:rPr>
      </w:pPr>
      <w:r w:rsidRPr="004046C5">
        <w:rPr>
          <w:b/>
          <w:bCs/>
        </w:rPr>
        <w:t>What are the intended uses of ﬁndings for program improvement?</w:t>
      </w:r>
    </w:p>
    <w:p w14:paraId="0B5395B3" w14:textId="00554C9F" w:rsidR="004046C5" w:rsidRDefault="004046C5" w:rsidP="004046C5">
      <w:r>
        <w:t>Insights gleaned from the research will inform program improvement initiatives aimed at optimizing admissions criteria and enhancing support for students at-risk for academic deﬁciency. Speciﬁcally, with awareness of the pre-dental metrics strongly correlated with success in dental school, the admissions committee can collaborate with administrative o</w:t>
      </w:r>
      <w:r>
        <w:rPr>
          <w:rFonts w:ascii="Arial" w:hAnsi="Arial" w:cs="Arial"/>
        </w:rPr>
        <w:t>ﬃ</w:t>
      </w:r>
      <w:r>
        <w:t>ces and faculty to develop programming to support incoming students who may have pre-dental academic pro</w:t>
      </w:r>
      <w:r>
        <w:rPr>
          <w:rFonts w:ascii="Aptos" w:hAnsi="Aptos" w:cs="Aptos"/>
        </w:rPr>
        <w:t>ﬁ</w:t>
      </w:r>
      <w:r>
        <w:t xml:space="preserve">les </w:t>
      </w:r>
      <w:proofErr w:type="gramStart"/>
      <w:r>
        <w:t>similar to</w:t>
      </w:r>
      <w:proofErr w:type="gramEnd"/>
      <w:r>
        <w:t xml:space="preserve"> students who may have experienced academic di</w:t>
      </w:r>
      <w:r>
        <w:rPr>
          <w:rFonts w:ascii="Arial" w:hAnsi="Arial" w:cs="Arial"/>
        </w:rPr>
        <w:t>ﬃ</w:t>
      </w:r>
      <w:r>
        <w:t>culty. Programming can be customized to support these students (if they choose to take advantage of it) as they acclimate to the rigors of dental education. For example, the students identi</w:t>
      </w:r>
      <w:r>
        <w:rPr>
          <w:rFonts w:ascii="Aptos" w:hAnsi="Aptos" w:cs="Aptos"/>
        </w:rPr>
        <w:t>ﬁ</w:t>
      </w:r>
      <w:r>
        <w:t xml:space="preserve">ed during the admissions process would be invited to a pre-matriculation program designed to support their acclimation to the dental program and academic success, through activities intended to preview the curriculum, develop study and time </w:t>
      </w:r>
      <w:r>
        <w:lastRenderedPageBreak/>
        <w:t>management skills, promote community, and identify support resources. Lastly, in tracking student progress over time we could determine the e</w:t>
      </w:r>
      <w:r>
        <w:rPr>
          <w:rFonts w:ascii="Arial" w:hAnsi="Arial" w:cs="Arial"/>
        </w:rPr>
        <w:t>ﬀ</w:t>
      </w:r>
      <w:r>
        <w:t>ectiveness of our interventions to support students at risk for academic de</w:t>
      </w:r>
      <w:r>
        <w:rPr>
          <w:rFonts w:ascii="Aptos" w:hAnsi="Aptos" w:cs="Aptos"/>
        </w:rPr>
        <w:t>ﬁ</w:t>
      </w:r>
      <w:r>
        <w:t>ciency.</w:t>
      </w:r>
    </w:p>
    <w:p w14:paraId="20A299DE" w14:textId="77777777" w:rsidR="004046C5" w:rsidRPr="004046C5" w:rsidRDefault="004046C5" w:rsidP="004046C5">
      <w:pPr>
        <w:rPr>
          <w:b/>
          <w:bCs/>
        </w:rPr>
      </w:pPr>
      <w:r w:rsidRPr="004046C5">
        <w:rPr>
          <w:b/>
          <w:bCs/>
        </w:rPr>
        <w:t>Provide a simple budget how the grant money will be spent and a justiﬁcation for the amount requested.</w:t>
      </w:r>
    </w:p>
    <w:p w14:paraId="18F5A913" w14:textId="77777777" w:rsidR="004046C5" w:rsidRDefault="004046C5" w:rsidP="004046C5">
      <w:r>
        <w:t>Grant funds will be spent on statistical analysis and travel to the American Dental Education Association Annual session to present the project ﬁndings.</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57"/>
        <w:gridCol w:w="1596"/>
        <w:gridCol w:w="1583"/>
        <w:gridCol w:w="1056"/>
      </w:tblGrid>
      <w:tr w:rsidR="004046C5" w14:paraId="1C78D54D" w14:textId="77777777" w:rsidTr="004046C5">
        <w:trPr>
          <w:trHeight w:val="476"/>
        </w:trPr>
        <w:tc>
          <w:tcPr>
            <w:tcW w:w="5057" w:type="dxa"/>
          </w:tcPr>
          <w:p w14:paraId="3C9B139E" w14:textId="77777777" w:rsidR="004046C5" w:rsidRPr="004046C5" w:rsidRDefault="004046C5" w:rsidP="00AE2A7C">
            <w:pPr>
              <w:pStyle w:val="TableParagraph"/>
              <w:spacing w:before="90"/>
              <w:rPr>
                <w:rFonts w:asciiTheme="minorHAnsi" w:hAnsiTheme="minorHAnsi"/>
                <w:b/>
                <w:sz w:val="24"/>
              </w:rPr>
            </w:pPr>
            <w:r w:rsidRPr="004046C5">
              <w:rPr>
                <w:rFonts w:asciiTheme="minorHAnsi" w:hAnsiTheme="minorHAnsi"/>
                <w:b/>
                <w:spacing w:val="-4"/>
                <w:sz w:val="24"/>
              </w:rPr>
              <w:t>Item</w:t>
            </w:r>
          </w:p>
        </w:tc>
        <w:tc>
          <w:tcPr>
            <w:tcW w:w="1596" w:type="dxa"/>
          </w:tcPr>
          <w:p w14:paraId="244C664C" w14:textId="77777777" w:rsidR="004046C5" w:rsidRPr="004046C5" w:rsidRDefault="004046C5" w:rsidP="00AE2A7C">
            <w:pPr>
              <w:pStyle w:val="TableParagraph"/>
              <w:spacing w:before="90"/>
              <w:ind w:left="117"/>
              <w:rPr>
                <w:rFonts w:asciiTheme="minorHAnsi" w:hAnsiTheme="minorHAnsi"/>
                <w:b/>
                <w:sz w:val="24"/>
              </w:rPr>
            </w:pPr>
            <w:r w:rsidRPr="004046C5">
              <w:rPr>
                <w:rFonts w:asciiTheme="minorHAnsi" w:hAnsiTheme="minorHAnsi"/>
                <w:b/>
                <w:spacing w:val="-2"/>
                <w:sz w:val="24"/>
              </w:rPr>
              <w:t>Total</w:t>
            </w:r>
            <w:r w:rsidRPr="004046C5">
              <w:rPr>
                <w:rFonts w:asciiTheme="minorHAnsi" w:hAnsiTheme="minorHAnsi"/>
                <w:b/>
                <w:spacing w:val="-8"/>
                <w:sz w:val="24"/>
              </w:rPr>
              <w:t xml:space="preserve"> </w:t>
            </w:r>
            <w:r w:rsidRPr="004046C5">
              <w:rPr>
                <w:rFonts w:asciiTheme="minorHAnsi" w:hAnsiTheme="minorHAnsi"/>
                <w:b/>
                <w:spacing w:val="-4"/>
                <w:sz w:val="24"/>
              </w:rPr>
              <w:t>Cost</w:t>
            </w:r>
          </w:p>
        </w:tc>
        <w:tc>
          <w:tcPr>
            <w:tcW w:w="1583" w:type="dxa"/>
          </w:tcPr>
          <w:p w14:paraId="21FD398B" w14:textId="77777777" w:rsidR="004046C5" w:rsidRPr="004046C5" w:rsidRDefault="004046C5" w:rsidP="00AE2A7C">
            <w:pPr>
              <w:pStyle w:val="TableParagraph"/>
              <w:spacing w:before="90"/>
              <w:ind w:left="110"/>
              <w:rPr>
                <w:rFonts w:asciiTheme="minorHAnsi" w:hAnsiTheme="minorHAnsi"/>
                <w:b/>
                <w:sz w:val="24"/>
              </w:rPr>
            </w:pPr>
            <w:r w:rsidRPr="004046C5">
              <w:rPr>
                <w:rFonts w:asciiTheme="minorHAnsi" w:hAnsiTheme="minorHAnsi"/>
                <w:b/>
                <w:sz w:val="24"/>
              </w:rPr>
              <w:t xml:space="preserve">Grant </w:t>
            </w:r>
            <w:r w:rsidRPr="004046C5">
              <w:rPr>
                <w:rFonts w:asciiTheme="minorHAnsi" w:hAnsiTheme="minorHAnsi"/>
                <w:b/>
                <w:spacing w:val="-2"/>
                <w:sz w:val="24"/>
              </w:rPr>
              <w:t>Support</w:t>
            </w:r>
          </w:p>
        </w:tc>
        <w:tc>
          <w:tcPr>
            <w:tcW w:w="1056" w:type="dxa"/>
          </w:tcPr>
          <w:p w14:paraId="0A954B5D" w14:textId="77777777" w:rsidR="004046C5" w:rsidRPr="004046C5" w:rsidRDefault="004046C5" w:rsidP="00AE2A7C">
            <w:pPr>
              <w:pStyle w:val="TableParagraph"/>
              <w:spacing w:before="90"/>
              <w:ind w:left="10" w:right="-29"/>
              <w:rPr>
                <w:rFonts w:asciiTheme="minorHAnsi" w:hAnsiTheme="minorHAnsi"/>
                <w:b/>
                <w:sz w:val="24"/>
              </w:rPr>
            </w:pPr>
            <w:r w:rsidRPr="004046C5">
              <w:rPr>
                <w:rFonts w:asciiTheme="minorHAnsi" w:hAnsiTheme="minorHAnsi"/>
                <w:b/>
                <w:sz w:val="24"/>
              </w:rPr>
              <w:t xml:space="preserve">IUSD </w:t>
            </w:r>
            <w:r w:rsidRPr="004046C5">
              <w:rPr>
                <w:rFonts w:asciiTheme="minorHAnsi" w:hAnsiTheme="minorHAnsi"/>
                <w:b/>
                <w:spacing w:val="-4"/>
                <w:sz w:val="24"/>
              </w:rPr>
              <w:t>Supp</w:t>
            </w:r>
          </w:p>
        </w:tc>
      </w:tr>
      <w:tr w:rsidR="004046C5" w14:paraId="5EDD6A37" w14:textId="77777777" w:rsidTr="004046C5">
        <w:trPr>
          <w:trHeight w:val="476"/>
        </w:trPr>
        <w:tc>
          <w:tcPr>
            <w:tcW w:w="5057" w:type="dxa"/>
          </w:tcPr>
          <w:p w14:paraId="629BAC62" w14:textId="77777777" w:rsidR="004046C5" w:rsidRPr="004046C5" w:rsidRDefault="004046C5" w:rsidP="00AE2A7C">
            <w:pPr>
              <w:pStyle w:val="TableParagraph"/>
              <w:rPr>
                <w:rFonts w:asciiTheme="minorHAnsi" w:hAnsiTheme="minorHAnsi"/>
                <w:sz w:val="24"/>
              </w:rPr>
            </w:pPr>
            <w:r w:rsidRPr="004046C5">
              <w:rPr>
                <w:rFonts w:asciiTheme="minorHAnsi" w:hAnsiTheme="minorHAnsi"/>
                <w:w w:val="115"/>
                <w:sz w:val="24"/>
              </w:rPr>
              <w:t>Statistician</w:t>
            </w:r>
            <w:r w:rsidRPr="004046C5">
              <w:rPr>
                <w:rFonts w:asciiTheme="minorHAnsi" w:hAnsiTheme="minorHAnsi"/>
                <w:spacing w:val="-3"/>
                <w:w w:val="115"/>
                <w:sz w:val="24"/>
              </w:rPr>
              <w:t xml:space="preserve"> </w:t>
            </w:r>
            <w:r w:rsidRPr="004046C5">
              <w:rPr>
                <w:rFonts w:asciiTheme="minorHAnsi" w:hAnsiTheme="minorHAnsi"/>
                <w:w w:val="115"/>
                <w:sz w:val="24"/>
              </w:rPr>
              <w:t>($175/hour</w:t>
            </w:r>
            <w:r w:rsidRPr="004046C5">
              <w:rPr>
                <w:rFonts w:asciiTheme="minorHAnsi" w:hAnsiTheme="minorHAnsi"/>
                <w:spacing w:val="-3"/>
                <w:w w:val="115"/>
                <w:sz w:val="24"/>
              </w:rPr>
              <w:t xml:space="preserve"> </w:t>
            </w:r>
            <w:r w:rsidRPr="004046C5">
              <w:rPr>
                <w:rFonts w:asciiTheme="minorHAnsi" w:hAnsiTheme="minorHAnsi"/>
                <w:w w:val="115"/>
                <w:sz w:val="24"/>
              </w:rPr>
              <w:t>for</w:t>
            </w:r>
            <w:r w:rsidRPr="004046C5">
              <w:rPr>
                <w:rFonts w:asciiTheme="minorHAnsi" w:hAnsiTheme="minorHAnsi"/>
                <w:spacing w:val="-3"/>
                <w:w w:val="115"/>
                <w:sz w:val="24"/>
              </w:rPr>
              <w:t xml:space="preserve"> </w:t>
            </w:r>
            <w:r w:rsidRPr="004046C5">
              <w:rPr>
                <w:rFonts w:asciiTheme="minorHAnsi" w:hAnsiTheme="minorHAnsi"/>
                <w:w w:val="115"/>
                <w:sz w:val="24"/>
              </w:rPr>
              <w:t>8</w:t>
            </w:r>
            <w:r w:rsidRPr="004046C5">
              <w:rPr>
                <w:rFonts w:asciiTheme="minorHAnsi" w:hAnsiTheme="minorHAnsi"/>
                <w:spacing w:val="-3"/>
                <w:w w:val="115"/>
                <w:sz w:val="24"/>
              </w:rPr>
              <w:t xml:space="preserve"> </w:t>
            </w:r>
            <w:r w:rsidRPr="004046C5">
              <w:rPr>
                <w:rFonts w:asciiTheme="minorHAnsi" w:hAnsiTheme="minorHAnsi"/>
                <w:spacing w:val="-2"/>
                <w:w w:val="115"/>
                <w:sz w:val="24"/>
              </w:rPr>
              <w:t>hours)</w:t>
            </w:r>
          </w:p>
        </w:tc>
        <w:tc>
          <w:tcPr>
            <w:tcW w:w="1596" w:type="dxa"/>
          </w:tcPr>
          <w:p w14:paraId="09311B66" w14:textId="77777777" w:rsidR="004046C5" w:rsidRPr="004046C5" w:rsidRDefault="004046C5" w:rsidP="00AE2A7C">
            <w:pPr>
              <w:pStyle w:val="TableParagraph"/>
              <w:ind w:left="117"/>
              <w:rPr>
                <w:rFonts w:asciiTheme="minorHAnsi" w:hAnsiTheme="minorHAnsi"/>
                <w:sz w:val="24"/>
              </w:rPr>
            </w:pPr>
            <w:r w:rsidRPr="004046C5">
              <w:rPr>
                <w:rFonts w:asciiTheme="minorHAnsi" w:hAnsiTheme="minorHAnsi"/>
                <w:spacing w:val="-2"/>
                <w:w w:val="120"/>
                <w:sz w:val="24"/>
              </w:rPr>
              <w:t>$1400</w:t>
            </w:r>
          </w:p>
        </w:tc>
        <w:tc>
          <w:tcPr>
            <w:tcW w:w="1583" w:type="dxa"/>
          </w:tcPr>
          <w:p w14:paraId="3BF4CBD5" w14:textId="77777777" w:rsidR="004046C5" w:rsidRPr="004046C5" w:rsidRDefault="004046C5" w:rsidP="00AE2A7C">
            <w:pPr>
              <w:pStyle w:val="TableParagraph"/>
              <w:ind w:left="110"/>
              <w:rPr>
                <w:rFonts w:asciiTheme="minorHAnsi" w:hAnsiTheme="minorHAnsi"/>
                <w:sz w:val="24"/>
              </w:rPr>
            </w:pPr>
            <w:r w:rsidRPr="004046C5">
              <w:rPr>
                <w:rFonts w:asciiTheme="minorHAnsi" w:hAnsiTheme="minorHAnsi"/>
                <w:spacing w:val="-2"/>
                <w:w w:val="120"/>
                <w:sz w:val="24"/>
              </w:rPr>
              <w:t>$1000</w:t>
            </w:r>
          </w:p>
        </w:tc>
        <w:tc>
          <w:tcPr>
            <w:tcW w:w="1056" w:type="dxa"/>
          </w:tcPr>
          <w:p w14:paraId="393C7190" w14:textId="77777777" w:rsidR="004046C5" w:rsidRPr="004046C5" w:rsidRDefault="004046C5" w:rsidP="00AE2A7C">
            <w:pPr>
              <w:pStyle w:val="TableParagraph"/>
              <w:ind w:left="10"/>
              <w:rPr>
                <w:rFonts w:asciiTheme="minorHAnsi" w:hAnsiTheme="minorHAnsi"/>
                <w:sz w:val="24"/>
              </w:rPr>
            </w:pPr>
            <w:r w:rsidRPr="004046C5">
              <w:rPr>
                <w:rFonts w:asciiTheme="minorHAnsi" w:hAnsiTheme="minorHAnsi"/>
                <w:spacing w:val="-4"/>
                <w:w w:val="130"/>
                <w:sz w:val="24"/>
              </w:rPr>
              <w:t>$400</w:t>
            </w:r>
          </w:p>
        </w:tc>
      </w:tr>
      <w:tr w:rsidR="004046C5" w14:paraId="1CEC9587" w14:textId="77777777" w:rsidTr="004046C5">
        <w:trPr>
          <w:trHeight w:val="953"/>
        </w:trPr>
        <w:tc>
          <w:tcPr>
            <w:tcW w:w="5057" w:type="dxa"/>
          </w:tcPr>
          <w:p w14:paraId="6F40B611" w14:textId="77777777" w:rsidR="004046C5" w:rsidRPr="004046C5" w:rsidRDefault="004046C5" w:rsidP="00AE2A7C">
            <w:pPr>
              <w:pStyle w:val="TableParagraph"/>
              <w:rPr>
                <w:rFonts w:asciiTheme="minorHAnsi" w:hAnsiTheme="minorHAnsi"/>
                <w:sz w:val="24"/>
              </w:rPr>
            </w:pPr>
            <w:r w:rsidRPr="004046C5">
              <w:rPr>
                <w:rFonts w:asciiTheme="minorHAnsi" w:hAnsiTheme="minorHAnsi"/>
                <w:w w:val="115"/>
                <w:sz w:val="24"/>
              </w:rPr>
              <w:t>Flight to</w:t>
            </w:r>
            <w:r w:rsidRPr="004046C5">
              <w:rPr>
                <w:rFonts w:asciiTheme="minorHAnsi" w:hAnsiTheme="minorHAnsi"/>
                <w:spacing w:val="1"/>
                <w:w w:val="115"/>
                <w:sz w:val="24"/>
              </w:rPr>
              <w:t xml:space="preserve"> </w:t>
            </w:r>
            <w:r w:rsidRPr="004046C5">
              <w:rPr>
                <w:rFonts w:asciiTheme="minorHAnsi" w:hAnsiTheme="minorHAnsi"/>
                <w:w w:val="115"/>
                <w:sz w:val="24"/>
              </w:rPr>
              <w:t>Quebec,</w:t>
            </w:r>
            <w:r w:rsidRPr="004046C5">
              <w:rPr>
                <w:rFonts w:asciiTheme="minorHAnsi" w:hAnsiTheme="minorHAnsi"/>
                <w:spacing w:val="-1"/>
                <w:w w:val="115"/>
                <w:sz w:val="24"/>
              </w:rPr>
              <w:t xml:space="preserve"> </w:t>
            </w:r>
            <w:r w:rsidRPr="004046C5">
              <w:rPr>
                <w:rFonts w:asciiTheme="minorHAnsi" w:hAnsiTheme="minorHAnsi"/>
                <w:w w:val="115"/>
                <w:sz w:val="24"/>
              </w:rPr>
              <w:t>CA,</w:t>
            </w:r>
            <w:r w:rsidRPr="004046C5">
              <w:rPr>
                <w:rFonts w:asciiTheme="minorHAnsi" w:hAnsiTheme="minorHAnsi"/>
                <w:spacing w:val="-1"/>
                <w:w w:val="115"/>
                <w:sz w:val="24"/>
              </w:rPr>
              <w:t xml:space="preserve"> </w:t>
            </w:r>
            <w:r w:rsidRPr="004046C5">
              <w:rPr>
                <w:rFonts w:asciiTheme="minorHAnsi" w:hAnsiTheme="minorHAnsi"/>
                <w:w w:val="115"/>
                <w:sz w:val="24"/>
              </w:rPr>
              <w:t>business</w:t>
            </w:r>
            <w:r w:rsidRPr="004046C5">
              <w:rPr>
                <w:rFonts w:asciiTheme="minorHAnsi" w:hAnsiTheme="minorHAnsi"/>
                <w:spacing w:val="1"/>
                <w:w w:val="115"/>
                <w:sz w:val="24"/>
              </w:rPr>
              <w:t xml:space="preserve"> </w:t>
            </w:r>
            <w:r w:rsidRPr="004046C5">
              <w:rPr>
                <w:rFonts w:asciiTheme="minorHAnsi" w:hAnsiTheme="minorHAnsi"/>
                <w:w w:val="115"/>
                <w:sz w:val="24"/>
              </w:rPr>
              <w:t>class,</w:t>
            </w:r>
            <w:r w:rsidRPr="004046C5">
              <w:rPr>
                <w:rFonts w:asciiTheme="minorHAnsi" w:hAnsiTheme="minorHAnsi"/>
                <w:spacing w:val="-1"/>
                <w:w w:val="115"/>
                <w:sz w:val="24"/>
              </w:rPr>
              <w:t xml:space="preserve"> </w:t>
            </w:r>
            <w:r w:rsidRPr="004046C5">
              <w:rPr>
                <w:rFonts w:asciiTheme="minorHAnsi" w:hAnsiTheme="minorHAnsi"/>
                <w:w w:val="115"/>
                <w:sz w:val="24"/>
              </w:rPr>
              <w:t>+</w:t>
            </w:r>
            <w:r w:rsidRPr="004046C5">
              <w:rPr>
                <w:rFonts w:asciiTheme="minorHAnsi" w:hAnsiTheme="minorHAnsi"/>
                <w:spacing w:val="1"/>
                <w:w w:val="115"/>
                <w:sz w:val="24"/>
              </w:rPr>
              <w:t xml:space="preserve"> </w:t>
            </w:r>
            <w:r w:rsidRPr="004046C5">
              <w:rPr>
                <w:rFonts w:asciiTheme="minorHAnsi" w:hAnsiTheme="minorHAnsi"/>
                <w:spacing w:val="-2"/>
                <w:w w:val="115"/>
                <w:sz w:val="24"/>
              </w:rPr>
              <w:t>checked</w:t>
            </w:r>
          </w:p>
          <w:p w14:paraId="20958E35" w14:textId="77777777" w:rsidR="004046C5" w:rsidRPr="004046C5" w:rsidRDefault="004046C5" w:rsidP="00AE2A7C">
            <w:pPr>
              <w:pStyle w:val="TableParagraph"/>
              <w:spacing w:before="187"/>
              <w:rPr>
                <w:rFonts w:asciiTheme="minorHAnsi" w:hAnsiTheme="minorHAnsi"/>
                <w:sz w:val="24"/>
              </w:rPr>
            </w:pPr>
            <w:r w:rsidRPr="004046C5">
              <w:rPr>
                <w:rFonts w:asciiTheme="minorHAnsi" w:hAnsiTheme="minorHAnsi"/>
                <w:w w:val="115"/>
                <w:sz w:val="24"/>
              </w:rPr>
              <w:t>bag</w:t>
            </w:r>
            <w:r w:rsidRPr="004046C5">
              <w:rPr>
                <w:rFonts w:asciiTheme="minorHAnsi" w:hAnsiTheme="minorHAnsi"/>
                <w:spacing w:val="-3"/>
                <w:w w:val="115"/>
                <w:sz w:val="24"/>
              </w:rPr>
              <w:t xml:space="preserve"> </w:t>
            </w:r>
            <w:r w:rsidRPr="004046C5">
              <w:rPr>
                <w:rFonts w:asciiTheme="minorHAnsi" w:hAnsiTheme="minorHAnsi"/>
                <w:spacing w:val="-2"/>
                <w:w w:val="120"/>
                <w:sz w:val="24"/>
              </w:rPr>
              <w:t>(2@$500)</w:t>
            </w:r>
          </w:p>
        </w:tc>
        <w:tc>
          <w:tcPr>
            <w:tcW w:w="1596" w:type="dxa"/>
          </w:tcPr>
          <w:p w14:paraId="247D4D9D" w14:textId="77777777" w:rsidR="004046C5" w:rsidRPr="004046C5" w:rsidRDefault="004046C5" w:rsidP="00AE2A7C">
            <w:pPr>
              <w:pStyle w:val="TableParagraph"/>
              <w:spacing w:before="33"/>
              <w:ind w:left="0"/>
              <w:rPr>
                <w:rFonts w:asciiTheme="minorHAnsi" w:hAnsiTheme="minorHAnsi"/>
                <w:sz w:val="24"/>
              </w:rPr>
            </w:pPr>
          </w:p>
          <w:p w14:paraId="76174903" w14:textId="77777777" w:rsidR="004046C5" w:rsidRPr="004046C5" w:rsidRDefault="004046C5" w:rsidP="00AE2A7C">
            <w:pPr>
              <w:pStyle w:val="TableParagraph"/>
              <w:spacing w:before="0"/>
              <w:ind w:left="117"/>
              <w:rPr>
                <w:rFonts w:asciiTheme="minorHAnsi" w:hAnsiTheme="minorHAnsi"/>
                <w:sz w:val="24"/>
              </w:rPr>
            </w:pPr>
            <w:r w:rsidRPr="004046C5">
              <w:rPr>
                <w:rFonts w:asciiTheme="minorHAnsi" w:hAnsiTheme="minorHAnsi"/>
                <w:spacing w:val="-2"/>
                <w:w w:val="120"/>
                <w:sz w:val="24"/>
              </w:rPr>
              <w:t>$1000</w:t>
            </w:r>
          </w:p>
        </w:tc>
        <w:tc>
          <w:tcPr>
            <w:tcW w:w="1583" w:type="dxa"/>
          </w:tcPr>
          <w:p w14:paraId="7658F524" w14:textId="77777777" w:rsidR="004046C5" w:rsidRPr="004046C5" w:rsidRDefault="004046C5" w:rsidP="00AE2A7C">
            <w:pPr>
              <w:pStyle w:val="TableParagraph"/>
              <w:spacing w:before="33"/>
              <w:ind w:left="0"/>
              <w:rPr>
                <w:rFonts w:asciiTheme="minorHAnsi" w:hAnsiTheme="minorHAnsi"/>
                <w:sz w:val="24"/>
              </w:rPr>
            </w:pPr>
          </w:p>
          <w:p w14:paraId="4DC16C6D" w14:textId="77777777" w:rsidR="004046C5" w:rsidRPr="004046C5" w:rsidRDefault="004046C5" w:rsidP="00AE2A7C">
            <w:pPr>
              <w:pStyle w:val="TableParagraph"/>
              <w:spacing w:before="0"/>
              <w:ind w:left="110"/>
              <w:rPr>
                <w:rFonts w:asciiTheme="minorHAnsi" w:hAnsiTheme="minorHAnsi"/>
                <w:sz w:val="24"/>
              </w:rPr>
            </w:pPr>
            <w:r w:rsidRPr="004046C5">
              <w:rPr>
                <w:rFonts w:asciiTheme="minorHAnsi" w:hAnsiTheme="minorHAnsi"/>
                <w:spacing w:val="-2"/>
                <w:w w:val="120"/>
                <w:sz w:val="24"/>
              </w:rPr>
              <w:t>$1,000</w:t>
            </w:r>
          </w:p>
        </w:tc>
        <w:tc>
          <w:tcPr>
            <w:tcW w:w="1056" w:type="dxa"/>
          </w:tcPr>
          <w:p w14:paraId="10695F4D" w14:textId="77777777" w:rsidR="004046C5" w:rsidRPr="004046C5" w:rsidRDefault="004046C5" w:rsidP="00AE2A7C">
            <w:pPr>
              <w:pStyle w:val="TableParagraph"/>
              <w:spacing w:before="33"/>
              <w:ind w:left="0"/>
              <w:rPr>
                <w:rFonts w:asciiTheme="minorHAnsi" w:hAnsiTheme="minorHAnsi"/>
                <w:sz w:val="24"/>
              </w:rPr>
            </w:pPr>
          </w:p>
          <w:p w14:paraId="3579CE50" w14:textId="77777777" w:rsidR="004046C5" w:rsidRPr="004046C5" w:rsidRDefault="004046C5" w:rsidP="00AE2A7C">
            <w:pPr>
              <w:pStyle w:val="TableParagraph"/>
              <w:spacing w:before="0"/>
              <w:ind w:left="10"/>
              <w:rPr>
                <w:rFonts w:asciiTheme="minorHAnsi" w:hAnsiTheme="minorHAnsi"/>
                <w:sz w:val="24"/>
              </w:rPr>
            </w:pPr>
            <w:r w:rsidRPr="004046C5">
              <w:rPr>
                <w:rFonts w:asciiTheme="minorHAnsi" w:hAnsiTheme="minorHAnsi"/>
                <w:spacing w:val="-5"/>
                <w:w w:val="130"/>
                <w:sz w:val="24"/>
              </w:rPr>
              <w:t>$0</w:t>
            </w:r>
          </w:p>
        </w:tc>
      </w:tr>
      <w:tr w:rsidR="004046C5" w14:paraId="2AA3B524" w14:textId="77777777" w:rsidTr="004046C5">
        <w:trPr>
          <w:trHeight w:val="953"/>
        </w:trPr>
        <w:tc>
          <w:tcPr>
            <w:tcW w:w="5057" w:type="dxa"/>
          </w:tcPr>
          <w:p w14:paraId="3B3113F1" w14:textId="77777777" w:rsidR="004046C5" w:rsidRPr="004046C5" w:rsidRDefault="004046C5" w:rsidP="00AE2A7C">
            <w:pPr>
              <w:pStyle w:val="TableParagraph"/>
              <w:rPr>
                <w:rFonts w:asciiTheme="minorHAnsi" w:hAnsiTheme="minorHAnsi"/>
                <w:sz w:val="24"/>
              </w:rPr>
            </w:pPr>
            <w:r w:rsidRPr="004046C5">
              <w:rPr>
                <w:rFonts w:asciiTheme="minorHAnsi" w:hAnsiTheme="minorHAnsi"/>
                <w:w w:val="115"/>
                <w:sz w:val="24"/>
              </w:rPr>
              <w:t>Lodging</w:t>
            </w:r>
            <w:r w:rsidRPr="004046C5">
              <w:rPr>
                <w:rFonts w:asciiTheme="minorHAnsi" w:hAnsiTheme="minorHAnsi"/>
                <w:spacing w:val="42"/>
                <w:w w:val="115"/>
                <w:sz w:val="24"/>
              </w:rPr>
              <w:t xml:space="preserve"> </w:t>
            </w:r>
            <w:r w:rsidRPr="004046C5">
              <w:rPr>
                <w:rFonts w:asciiTheme="minorHAnsi" w:hAnsiTheme="minorHAnsi"/>
                <w:w w:val="115"/>
                <w:sz w:val="24"/>
              </w:rPr>
              <w:t>March</w:t>
            </w:r>
            <w:r w:rsidRPr="004046C5">
              <w:rPr>
                <w:rFonts w:asciiTheme="minorHAnsi" w:hAnsiTheme="minorHAnsi"/>
                <w:spacing w:val="-11"/>
                <w:w w:val="115"/>
                <w:sz w:val="24"/>
              </w:rPr>
              <w:t xml:space="preserve"> </w:t>
            </w:r>
            <w:r w:rsidRPr="004046C5">
              <w:rPr>
                <w:rFonts w:asciiTheme="minorHAnsi" w:hAnsiTheme="minorHAnsi"/>
                <w:w w:val="115"/>
                <w:sz w:val="24"/>
              </w:rPr>
              <w:t>8912</w:t>
            </w:r>
            <w:r w:rsidRPr="004046C5">
              <w:rPr>
                <w:rFonts w:asciiTheme="minorHAnsi" w:hAnsiTheme="minorHAnsi"/>
                <w:spacing w:val="-10"/>
                <w:w w:val="115"/>
                <w:sz w:val="24"/>
              </w:rPr>
              <w:t xml:space="preserve"> </w:t>
            </w:r>
            <w:r w:rsidRPr="004046C5">
              <w:rPr>
                <w:rFonts w:asciiTheme="minorHAnsi" w:hAnsiTheme="minorHAnsi"/>
                <w:w w:val="115"/>
                <w:sz w:val="24"/>
              </w:rPr>
              <w:t>(2@$606</w:t>
            </w:r>
            <w:r w:rsidRPr="004046C5">
              <w:rPr>
                <w:rFonts w:asciiTheme="minorHAnsi" w:hAnsiTheme="minorHAnsi"/>
                <w:spacing w:val="-10"/>
                <w:w w:val="115"/>
                <w:sz w:val="24"/>
              </w:rPr>
              <w:t xml:space="preserve"> </w:t>
            </w:r>
            <w:r w:rsidRPr="004046C5">
              <w:rPr>
                <w:rFonts w:asciiTheme="minorHAnsi" w:hAnsiTheme="minorHAnsi"/>
                <w:w w:val="115"/>
                <w:sz w:val="24"/>
              </w:rPr>
              <w:t>per</w:t>
            </w:r>
            <w:r w:rsidRPr="004046C5">
              <w:rPr>
                <w:rFonts w:asciiTheme="minorHAnsi" w:hAnsiTheme="minorHAnsi"/>
                <w:spacing w:val="-11"/>
                <w:w w:val="115"/>
                <w:sz w:val="24"/>
              </w:rPr>
              <w:t xml:space="preserve"> </w:t>
            </w:r>
            <w:r w:rsidRPr="004046C5">
              <w:rPr>
                <w:rFonts w:asciiTheme="minorHAnsi" w:hAnsiTheme="minorHAnsi"/>
                <w:w w:val="115"/>
                <w:sz w:val="24"/>
              </w:rPr>
              <w:t>night</w:t>
            </w:r>
            <w:r w:rsidRPr="004046C5">
              <w:rPr>
                <w:rFonts w:asciiTheme="minorHAnsi" w:hAnsiTheme="minorHAnsi"/>
                <w:spacing w:val="-10"/>
                <w:w w:val="115"/>
                <w:sz w:val="24"/>
              </w:rPr>
              <w:t xml:space="preserve"> </w:t>
            </w:r>
            <w:r w:rsidRPr="004046C5">
              <w:rPr>
                <w:rFonts w:asciiTheme="minorHAnsi" w:hAnsiTheme="minorHAnsi"/>
                <w:w w:val="115"/>
                <w:sz w:val="24"/>
              </w:rPr>
              <w:t>for</w:t>
            </w:r>
            <w:r w:rsidRPr="004046C5">
              <w:rPr>
                <w:rFonts w:asciiTheme="minorHAnsi" w:hAnsiTheme="minorHAnsi"/>
                <w:spacing w:val="-10"/>
                <w:w w:val="115"/>
                <w:sz w:val="24"/>
              </w:rPr>
              <w:t xml:space="preserve"> 4</w:t>
            </w:r>
          </w:p>
          <w:p w14:paraId="64D6CB5B" w14:textId="77777777" w:rsidR="004046C5" w:rsidRPr="004046C5" w:rsidRDefault="004046C5" w:rsidP="00AE2A7C">
            <w:pPr>
              <w:pStyle w:val="TableParagraph"/>
              <w:spacing w:before="187"/>
              <w:rPr>
                <w:rFonts w:asciiTheme="minorHAnsi" w:hAnsiTheme="minorHAnsi"/>
                <w:sz w:val="24"/>
              </w:rPr>
            </w:pPr>
            <w:r w:rsidRPr="004046C5">
              <w:rPr>
                <w:rFonts w:asciiTheme="minorHAnsi" w:hAnsiTheme="minorHAnsi"/>
                <w:spacing w:val="-2"/>
                <w:w w:val="120"/>
                <w:sz w:val="24"/>
              </w:rPr>
              <w:t>nights)</w:t>
            </w:r>
          </w:p>
        </w:tc>
        <w:tc>
          <w:tcPr>
            <w:tcW w:w="1596" w:type="dxa"/>
          </w:tcPr>
          <w:p w14:paraId="1F4454DA" w14:textId="77777777" w:rsidR="004046C5" w:rsidRPr="004046C5" w:rsidRDefault="004046C5" w:rsidP="00AE2A7C">
            <w:pPr>
              <w:pStyle w:val="TableParagraph"/>
              <w:spacing w:before="33"/>
              <w:ind w:left="0"/>
              <w:rPr>
                <w:rFonts w:asciiTheme="minorHAnsi" w:hAnsiTheme="minorHAnsi"/>
                <w:sz w:val="24"/>
              </w:rPr>
            </w:pPr>
          </w:p>
          <w:p w14:paraId="1B77ED2A" w14:textId="77777777" w:rsidR="004046C5" w:rsidRPr="004046C5" w:rsidRDefault="004046C5" w:rsidP="00AE2A7C">
            <w:pPr>
              <w:pStyle w:val="TableParagraph"/>
              <w:spacing w:before="0"/>
              <w:ind w:left="117"/>
              <w:rPr>
                <w:rFonts w:asciiTheme="minorHAnsi" w:hAnsiTheme="minorHAnsi"/>
                <w:sz w:val="24"/>
              </w:rPr>
            </w:pPr>
            <w:r w:rsidRPr="004046C5">
              <w:rPr>
                <w:rFonts w:asciiTheme="minorHAnsi" w:hAnsiTheme="minorHAnsi"/>
                <w:spacing w:val="-2"/>
                <w:w w:val="120"/>
                <w:sz w:val="24"/>
              </w:rPr>
              <w:t>$4,848</w:t>
            </w:r>
          </w:p>
        </w:tc>
        <w:tc>
          <w:tcPr>
            <w:tcW w:w="1583" w:type="dxa"/>
          </w:tcPr>
          <w:p w14:paraId="62D2200C" w14:textId="77777777" w:rsidR="004046C5" w:rsidRPr="004046C5" w:rsidRDefault="004046C5" w:rsidP="00AE2A7C">
            <w:pPr>
              <w:pStyle w:val="TableParagraph"/>
              <w:spacing w:before="33"/>
              <w:ind w:left="0"/>
              <w:rPr>
                <w:rFonts w:asciiTheme="minorHAnsi" w:hAnsiTheme="minorHAnsi"/>
                <w:sz w:val="24"/>
              </w:rPr>
            </w:pPr>
          </w:p>
          <w:p w14:paraId="32246A9D" w14:textId="77777777" w:rsidR="004046C5" w:rsidRPr="004046C5" w:rsidRDefault="004046C5" w:rsidP="00AE2A7C">
            <w:pPr>
              <w:pStyle w:val="TableParagraph"/>
              <w:spacing w:before="0"/>
              <w:ind w:left="110"/>
              <w:rPr>
                <w:rFonts w:asciiTheme="minorHAnsi" w:hAnsiTheme="minorHAnsi"/>
                <w:sz w:val="24"/>
              </w:rPr>
            </w:pPr>
            <w:r w:rsidRPr="004046C5">
              <w:rPr>
                <w:rFonts w:asciiTheme="minorHAnsi" w:hAnsiTheme="minorHAnsi"/>
                <w:spacing w:val="-2"/>
                <w:w w:val="125"/>
                <w:sz w:val="24"/>
              </w:rPr>
              <w:t>$3000</w:t>
            </w:r>
          </w:p>
        </w:tc>
        <w:tc>
          <w:tcPr>
            <w:tcW w:w="1056" w:type="dxa"/>
          </w:tcPr>
          <w:p w14:paraId="3A1AE559" w14:textId="77777777" w:rsidR="004046C5" w:rsidRPr="004046C5" w:rsidRDefault="004046C5" w:rsidP="00AE2A7C">
            <w:pPr>
              <w:pStyle w:val="TableParagraph"/>
              <w:spacing w:before="33"/>
              <w:ind w:left="0"/>
              <w:rPr>
                <w:rFonts w:asciiTheme="minorHAnsi" w:hAnsiTheme="minorHAnsi"/>
                <w:sz w:val="24"/>
              </w:rPr>
            </w:pPr>
          </w:p>
          <w:p w14:paraId="34DD58C8" w14:textId="77777777" w:rsidR="004046C5" w:rsidRPr="004046C5" w:rsidRDefault="004046C5" w:rsidP="00AE2A7C">
            <w:pPr>
              <w:pStyle w:val="TableParagraph"/>
              <w:spacing w:before="0"/>
              <w:ind w:left="10"/>
              <w:rPr>
                <w:rFonts w:asciiTheme="minorHAnsi" w:hAnsiTheme="minorHAnsi"/>
                <w:sz w:val="24"/>
              </w:rPr>
            </w:pPr>
            <w:r w:rsidRPr="004046C5">
              <w:rPr>
                <w:rFonts w:asciiTheme="minorHAnsi" w:hAnsiTheme="minorHAnsi"/>
                <w:spacing w:val="-2"/>
                <w:w w:val="115"/>
                <w:sz w:val="24"/>
              </w:rPr>
              <w:t>$1,848</w:t>
            </w:r>
          </w:p>
        </w:tc>
      </w:tr>
      <w:tr w:rsidR="004046C5" w14:paraId="31A24979" w14:textId="77777777" w:rsidTr="004046C5">
        <w:trPr>
          <w:trHeight w:val="953"/>
        </w:trPr>
        <w:tc>
          <w:tcPr>
            <w:tcW w:w="5057" w:type="dxa"/>
          </w:tcPr>
          <w:p w14:paraId="656900AA" w14:textId="77777777" w:rsidR="004046C5" w:rsidRPr="004046C5" w:rsidRDefault="004046C5" w:rsidP="00AE2A7C">
            <w:pPr>
              <w:pStyle w:val="TableParagraph"/>
              <w:rPr>
                <w:rFonts w:asciiTheme="minorHAnsi" w:hAnsiTheme="minorHAnsi"/>
                <w:sz w:val="24"/>
              </w:rPr>
            </w:pPr>
            <w:r w:rsidRPr="004046C5">
              <w:rPr>
                <w:rFonts w:asciiTheme="minorHAnsi" w:hAnsiTheme="minorHAnsi"/>
                <w:w w:val="115"/>
                <w:sz w:val="24"/>
              </w:rPr>
              <w:t>Per</w:t>
            </w:r>
            <w:r w:rsidRPr="004046C5">
              <w:rPr>
                <w:rFonts w:asciiTheme="minorHAnsi" w:hAnsiTheme="minorHAnsi"/>
                <w:spacing w:val="-4"/>
                <w:w w:val="115"/>
                <w:sz w:val="24"/>
              </w:rPr>
              <w:t xml:space="preserve"> </w:t>
            </w:r>
            <w:r w:rsidRPr="004046C5">
              <w:rPr>
                <w:rFonts w:asciiTheme="minorHAnsi" w:hAnsiTheme="minorHAnsi"/>
                <w:w w:val="115"/>
                <w:sz w:val="24"/>
              </w:rPr>
              <w:t>Diem</w:t>
            </w:r>
            <w:r w:rsidRPr="004046C5">
              <w:rPr>
                <w:rFonts w:asciiTheme="minorHAnsi" w:hAnsiTheme="minorHAnsi"/>
                <w:spacing w:val="-3"/>
                <w:w w:val="115"/>
                <w:sz w:val="24"/>
              </w:rPr>
              <w:t xml:space="preserve"> </w:t>
            </w:r>
            <w:r w:rsidRPr="004046C5">
              <w:rPr>
                <w:rFonts w:asciiTheme="minorHAnsi" w:hAnsiTheme="minorHAnsi"/>
                <w:w w:val="115"/>
                <w:sz w:val="24"/>
              </w:rPr>
              <w:t>($59</w:t>
            </w:r>
            <w:r w:rsidRPr="004046C5">
              <w:rPr>
                <w:rFonts w:asciiTheme="minorHAnsi" w:hAnsiTheme="minorHAnsi"/>
                <w:spacing w:val="-3"/>
                <w:w w:val="115"/>
                <w:sz w:val="24"/>
              </w:rPr>
              <w:t xml:space="preserve"> </w:t>
            </w:r>
            <w:r w:rsidRPr="004046C5">
              <w:rPr>
                <w:rFonts w:asciiTheme="minorHAnsi" w:hAnsiTheme="minorHAnsi"/>
                <w:w w:val="115"/>
                <w:sz w:val="24"/>
              </w:rPr>
              <w:t>ﬁrst</w:t>
            </w:r>
            <w:r w:rsidRPr="004046C5">
              <w:rPr>
                <w:rFonts w:asciiTheme="minorHAnsi" w:hAnsiTheme="minorHAnsi"/>
                <w:spacing w:val="-4"/>
                <w:w w:val="115"/>
                <w:sz w:val="24"/>
              </w:rPr>
              <w:t xml:space="preserve"> </w:t>
            </w:r>
            <w:r w:rsidRPr="004046C5">
              <w:rPr>
                <w:rFonts w:asciiTheme="minorHAnsi" w:hAnsiTheme="minorHAnsi"/>
                <w:w w:val="115"/>
                <w:sz w:val="24"/>
              </w:rPr>
              <w:t>and</w:t>
            </w:r>
            <w:r w:rsidRPr="004046C5">
              <w:rPr>
                <w:rFonts w:asciiTheme="minorHAnsi" w:hAnsiTheme="minorHAnsi"/>
                <w:spacing w:val="-3"/>
                <w:w w:val="115"/>
                <w:sz w:val="24"/>
              </w:rPr>
              <w:t xml:space="preserve"> </w:t>
            </w:r>
            <w:r w:rsidRPr="004046C5">
              <w:rPr>
                <w:rFonts w:asciiTheme="minorHAnsi" w:hAnsiTheme="minorHAnsi"/>
                <w:w w:val="115"/>
                <w:sz w:val="24"/>
              </w:rPr>
              <w:t>last</w:t>
            </w:r>
            <w:r w:rsidRPr="004046C5">
              <w:rPr>
                <w:rFonts w:asciiTheme="minorHAnsi" w:hAnsiTheme="minorHAnsi"/>
                <w:spacing w:val="-3"/>
                <w:w w:val="115"/>
                <w:sz w:val="24"/>
              </w:rPr>
              <w:t xml:space="preserve"> </w:t>
            </w:r>
            <w:r w:rsidRPr="004046C5">
              <w:rPr>
                <w:rFonts w:asciiTheme="minorHAnsi" w:hAnsiTheme="minorHAnsi"/>
                <w:w w:val="115"/>
                <w:sz w:val="24"/>
              </w:rPr>
              <w:t>day,</w:t>
            </w:r>
            <w:r w:rsidRPr="004046C5">
              <w:rPr>
                <w:rFonts w:asciiTheme="minorHAnsi" w:hAnsiTheme="minorHAnsi"/>
                <w:spacing w:val="-5"/>
                <w:w w:val="115"/>
                <w:sz w:val="24"/>
              </w:rPr>
              <w:t xml:space="preserve"> </w:t>
            </w:r>
            <w:r w:rsidRPr="004046C5">
              <w:rPr>
                <w:rFonts w:asciiTheme="minorHAnsi" w:hAnsiTheme="minorHAnsi"/>
                <w:w w:val="115"/>
                <w:sz w:val="24"/>
              </w:rPr>
              <w:t>$79</w:t>
            </w:r>
            <w:r w:rsidRPr="004046C5">
              <w:rPr>
                <w:rFonts w:asciiTheme="minorHAnsi" w:hAnsiTheme="minorHAnsi"/>
                <w:spacing w:val="-3"/>
                <w:w w:val="115"/>
                <w:sz w:val="24"/>
              </w:rPr>
              <w:t xml:space="preserve"> </w:t>
            </w:r>
            <w:r w:rsidRPr="004046C5">
              <w:rPr>
                <w:rFonts w:asciiTheme="minorHAnsi" w:hAnsiTheme="minorHAnsi"/>
                <w:w w:val="115"/>
                <w:sz w:val="24"/>
              </w:rPr>
              <w:t>each</w:t>
            </w:r>
            <w:r w:rsidRPr="004046C5">
              <w:rPr>
                <w:rFonts w:asciiTheme="minorHAnsi" w:hAnsiTheme="minorHAnsi"/>
                <w:spacing w:val="-3"/>
                <w:w w:val="115"/>
                <w:sz w:val="24"/>
              </w:rPr>
              <w:t xml:space="preserve"> </w:t>
            </w:r>
            <w:r w:rsidRPr="004046C5">
              <w:rPr>
                <w:rFonts w:asciiTheme="minorHAnsi" w:hAnsiTheme="minorHAnsi"/>
                <w:spacing w:val="-2"/>
                <w:w w:val="115"/>
                <w:sz w:val="24"/>
              </w:rPr>
              <w:t>interim</w:t>
            </w:r>
          </w:p>
          <w:p w14:paraId="084B6AC1" w14:textId="77777777" w:rsidR="004046C5" w:rsidRPr="004046C5" w:rsidRDefault="004046C5" w:rsidP="00AE2A7C">
            <w:pPr>
              <w:pStyle w:val="TableParagraph"/>
              <w:spacing w:before="187"/>
              <w:rPr>
                <w:rFonts w:asciiTheme="minorHAnsi" w:hAnsiTheme="minorHAnsi"/>
                <w:sz w:val="24"/>
              </w:rPr>
            </w:pPr>
            <w:r w:rsidRPr="004046C5">
              <w:rPr>
                <w:rFonts w:asciiTheme="minorHAnsi" w:hAnsiTheme="minorHAnsi"/>
                <w:w w:val="115"/>
                <w:sz w:val="24"/>
              </w:rPr>
              <w:t>day,</w:t>
            </w:r>
            <w:r w:rsidRPr="004046C5">
              <w:rPr>
                <w:rFonts w:asciiTheme="minorHAnsi" w:hAnsiTheme="minorHAnsi"/>
                <w:spacing w:val="-12"/>
                <w:w w:val="115"/>
                <w:sz w:val="24"/>
              </w:rPr>
              <w:t xml:space="preserve"> </w:t>
            </w:r>
            <w:r w:rsidRPr="004046C5">
              <w:rPr>
                <w:rFonts w:asciiTheme="minorHAnsi" w:hAnsiTheme="minorHAnsi"/>
                <w:w w:val="115"/>
                <w:sz w:val="24"/>
              </w:rPr>
              <w:t>total</w:t>
            </w:r>
            <w:r w:rsidRPr="004046C5">
              <w:rPr>
                <w:rFonts w:asciiTheme="minorHAnsi" w:hAnsiTheme="minorHAnsi"/>
                <w:spacing w:val="-12"/>
                <w:w w:val="115"/>
                <w:sz w:val="24"/>
              </w:rPr>
              <w:t xml:space="preserve"> </w:t>
            </w:r>
            <w:r w:rsidRPr="004046C5">
              <w:rPr>
                <w:rFonts w:asciiTheme="minorHAnsi" w:hAnsiTheme="minorHAnsi"/>
                <w:w w:val="115"/>
                <w:sz w:val="24"/>
              </w:rPr>
              <w:t>$276</w:t>
            </w:r>
            <w:r w:rsidRPr="004046C5">
              <w:rPr>
                <w:rFonts w:asciiTheme="minorHAnsi" w:hAnsiTheme="minorHAnsi"/>
                <w:spacing w:val="-11"/>
                <w:w w:val="115"/>
                <w:sz w:val="24"/>
              </w:rPr>
              <w:t xml:space="preserve"> </w:t>
            </w:r>
            <w:r w:rsidRPr="004046C5">
              <w:rPr>
                <w:rFonts w:asciiTheme="minorHAnsi" w:hAnsiTheme="minorHAnsi"/>
                <w:spacing w:val="-2"/>
                <w:w w:val="115"/>
                <w:sz w:val="24"/>
              </w:rPr>
              <w:t>each)</w:t>
            </w:r>
          </w:p>
        </w:tc>
        <w:tc>
          <w:tcPr>
            <w:tcW w:w="1596" w:type="dxa"/>
          </w:tcPr>
          <w:p w14:paraId="504B1E4B" w14:textId="77777777" w:rsidR="004046C5" w:rsidRPr="004046C5" w:rsidRDefault="004046C5" w:rsidP="00AE2A7C">
            <w:pPr>
              <w:pStyle w:val="TableParagraph"/>
              <w:spacing w:before="33"/>
              <w:ind w:left="0"/>
              <w:rPr>
                <w:rFonts w:asciiTheme="minorHAnsi" w:hAnsiTheme="minorHAnsi"/>
                <w:sz w:val="24"/>
              </w:rPr>
            </w:pPr>
          </w:p>
          <w:p w14:paraId="6CD5F537" w14:textId="77777777" w:rsidR="004046C5" w:rsidRPr="004046C5" w:rsidRDefault="004046C5" w:rsidP="00AE2A7C">
            <w:pPr>
              <w:pStyle w:val="TableParagraph"/>
              <w:spacing w:before="0"/>
              <w:ind w:left="117"/>
              <w:rPr>
                <w:rFonts w:asciiTheme="minorHAnsi" w:hAnsiTheme="minorHAnsi"/>
                <w:sz w:val="24"/>
              </w:rPr>
            </w:pPr>
            <w:r w:rsidRPr="004046C5">
              <w:rPr>
                <w:rFonts w:asciiTheme="minorHAnsi" w:hAnsiTheme="minorHAnsi"/>
                <w:spacing w:val="-4"/>
                <w:w w:val="120"/>
                <w:sz w:val="24"/>
              </w:rPr>
              <w:t>$552</w:t>
            </w:r>
          </w:p>
        </w:tc>
        <w:tc>
          <w:tcPr>
            <w:tcW w:w="1583" w:type="dxa"/>
          </w:tcPr>
          <w:p w14:paraId="672D343E" w14:textId="77777777" w:rsidR="004046C5" w:rsidRPr="004046C5" w:rsidRDefault="004046C5" w:rsidP="00AE2A7C">
            <w:pPr>
              <w:pStyle w:val="TableParagraph"/>
              <w:spacing w:before="33"/>
              <w:ind w:left="0"/>
              <w:rPr>
                <w:rFonts w:asciiTheme="minorHAnsi" w:hAnsiTheme="minorHAnsi"/>
                <w:sz w:val="24"/>
              </w:rPr>
            </w:pPr>
          </w:p>
          <w:p w14:paraId="4C3A12B4" w14:textId="77777777" w:rsidR="004046C5" w:rsidRPr="004046C5" w:rsidRDefault="004046C5" w:rsidP="00AE2A7C">
            <w:pPr>
              <w:pStyle w:val="TableParagraph"/>
              <w:spacing w:before="0"/>
              <w:ind w:left="110"/>
              <w:rPr>
                <w:rFonts w:asciiTheme="minorHAnsi" w:hAnsiTheme="minorHAnsi"/>
                <w:sz w:val="24"/>
              </w:rPr>
            </w:pPr>
            <w:r w:rsidRPr="004046C5">
              <w:rPr>
                <w:rFonts w:asciiTheme="minorHAnsi" w:hAnsiTheme="minorHAnsi"/>
                <w:spacing w:val="-5"/>
                <w:w w:val="130"/>
                <w:sz w:val="24"/>
              </w:rPr>
              <w:t>$0</w:t>
            </w:r>
          </w:p>
        </w:tc>
        <w:tc>
          <w:tcPr>
            <w:tcW w:w="1056" w:type="dxa"/>
          </w:tcPr>
          <w:p w14:paraId="6AEC579C" w14:textId="77777777" w:rsidR="004046C5" w:rsidRPr="004046C5" w:rsidRDefault="004046C5" w:rsidP="00AE2A7C">
            <w:pPr>
              <w:pStyle w:val="TableParagraph"/>
              <w:spacing w:before="33"/>
              <w:ind w:left="0"/>
              <w:rPr>
                <w:rFonts w:asciiTheme="minorHAnsi" w:hAnsiTheme="minorHAnsi"/>
                <w:sz w:val="24"/>
              </w:rPr>
            </w:pPr>
          </w:p>
          <w:p w14:paraId="07E9DBCF" w14:textId="77777777" w:rsidR="004046C5" w:rsidRPr="004046C5" w:rsidRDefault="004046C5" w:rsidP="00AE2A7C">
            <w:pPr>
              <w:pStyle w:val="TableParagraph"/>
              <w:spacing w:before="0"/>
              <w:ind w:left="10"/>
              <w:rPr>
                <w:rFonts w:asciiTheme="minorHAnsi" w:hAnsiTheme="minorHAnsi"/>
                <w:sz w:val="24"/>
              </w:rPr>
            </w:pPr>
            <w:r w:rsidRPr="004046C5">
              <w:rPr>
                <w:rFonts w:asciiTheme="minorHAnsi" w:hAnsiTheme="minorHAnsi"/>
                <w:spacing w:val="-4"/>
                <w:w w:val="120"/>
                <w:sz w:val="24"/>
              </w:rPr>
              <w:t>$552</w:t>
            </w:r>
          </w:p>
        </w:tc>
      </w:tr>
      <w:tr w:rsidR="004046C5" w14:paraId="6B67A1EB" w14:textId="77777777" w:rsidTr="004046C5">
        <w:trPr>
          <w:trHeight w:val="476"/>
        </w:trPr>
        <w:tc>
          <w:tcPr>
            <w:tcW w:w="5057" w:type="dxa"/>
          </w:tcPr>
          <w:p w14:paraId="39E9866B" w14:textId="77777777" w:rsidR="004046C5" w:rsidRPr="004046C5" w:rsidRDefault="004046C5" w:rsidP="00AE2A7C">
            <w:pPr>
              <w:pStyle w:val="TableParagraph"/>
              <w:rPr>
                <w:rFonts w:asciiTheme="minorHAnsi" w:hAnsiTheme="minorHAnsi"/>
                <w:sz w:val="24"/>
              </w:rPr>
            </w:pPr>
            <w:r w:rsidRPr="004046C5">
              <w:rPr>
                <w:rFonts w:asciiTheme="minorHAnsi" w:hAnsiTheme="minorHAnsi"/>
                <w:w w:val="115"/>
                <w:sz w:val="24"/>
              </w:rPr>
              <w:t>Parking</w:t>
            </w:r>
            <w:r w:rsidRPr="004046C5">
              <w:rPr>
                <w:rFonts w:asciiTheme="minorHAnsi" w:hAnsiTheme="minorHAnsi"/>
                <w:spacing w:val="-2"/>
                <w:w w:val="115"/>
                <w:sz w:val="24"/>
              </w:rPr>
              <w:t xml:space="preserve"> </w:t>
            </w:r>
            <w:r w:rsidRPr="004046C5">
              <w:rPr>
                <w:rFonts w:asciiTheme="minorHAnsi" w:hAnsiTheme="minorHAnsi"/>
                <w:w w:val="115"/>
                <w:sz w:val="24"/>
              </w:rPr>
              <w:t>at</w:t>
            </w:r>
            <w:r w:rsidRPr="004046C5">
              <w:rPr>
                <w:rFonts w:asciiTheme="minorHAnsi" w:hAnsiTheme="minorHAnsi"/>
                <w:spacing w:val="-1"/>
                <w:w w:val="115"/>
                <w:sz w:val="24"/>
              </w:rPr>
              <w:t xml:space="preserve"> </w:t>
            </w:r>
            <w:r w:rsidRPr="004046C5">
              <w:rPr>
                <w:rFonts w:asciiTheme="minorHAnsi" w:hAnsiTheme="minorHAnsi"/>
                <w:w w:val="115"/>
                <w:sz w:val="24"/>
              </w:rPr>
              <w:t>airport</w:t>
            </w:r>
            <w:r w:rsidRPr="004046C5">
              <w:rPr>
                <w:rFonts w:asciiTheme="minorHAnsi" w:hAnsiTheme="minorHAnsi"/>
                <w:spacing w:val="-1"/>
                <w:w w:val="115"/>
                <w:sz w:val="24"/>
              </w:rPr>
              <w:t xml:space="preserve"> </w:t>
            </w:r>
            <w:r w:rsidRPr="004046C5">
              <w:rPr>
                <w:rFonts w:asciiTheme="minorHAnsi" w:hAnsiTheme="minorHAnsi"/>
                <w:w w:val="115"/>
                <w:sz w:val="24"/>
              </w:rPr>
              <w:t>($20</w:t>
            </w:r>
            <w:r w:rsidRPr="004046C5">
              <w:rPr>
                <w:rFonts w:asciiTheme="minorHAnsi" w:hAnsiTheme="minorHAnsi"/>
                <w:spacing w:val="-1"/>
                <w:w w:val="115"/>
                <w:sz w:val="24"/>
              </w:rPr>
              <w:t xml:space="preserve"> </w:t>
            </w:r>
            <w:r w:rsidRPr="004046C5">
              <w:rPr>
                <w:rFonts w:asciiTheme="minorHAnsi" w:hAnsiTheme="minorHAnsi"/>
                <w:w w:val="115"/>
                <w:sz w:val="24"/>
              </w:rPr>
              <w:t>per</w:t>
            </w:r>
            <w:r w:rsidRPr="004046C5">
              <w:rPr>
                <w:rFonts w:asciiTheme="minorHAnsi" w:hAnsiTheme="minorHAnsi"/>
                <w:spacing w:val="-1"/>
                <w:w w:val="115"/>
                <w:sz w:val="24"/>
              </w:rPr>
              <w:t xml:space="preserve"> </w:t>
            </w:r>
            <w:r w:rsidRPr="004046C5">
              <w:rPr>
                <w:rFonts w:asciiTheme="minorHAnsi" w:hAnsiTheme="minorHAnsi"/>
                <w:w w:val="115"/>
                <w:sz w:val="24"/>
              </w:rPr>
              <w:t>day,</w:t>
            </w:r>
            <w:r w:rsidRPr="004046C5">
              <w:rPr>
                <w:rFonts w:asciiTheme="minorHAnsi" w:hAnsiTheme="minorHAnsi"/>
                <w:spacing w:val="-3"/>
                <w:w w:val="115"/>
                <w:sz w:val="24"/>
              </w:rPr>
              <w:t xml:space="preserve"> </w:t>
            </w:r>
            <w:r w:rsidRPr="004046C5">
              <w:rPr>
                <w:rFonts w:asciiTheme="minorHAnsi" w:hAnsiTheme="minorHAnsi"/>
                <w:w w:val="115"/>
                <w:sz w:val="24"/>
              </w:rPr>
              <w:t>$100</w:t>
            </w:r>
            <w:r w:rsidRPr="004046C5">
              <w:rPr>
                <w:rFonts w:asciiTheme="minorHAnsi" w:hAnsiTheme="minorHAnsi"/>
                <w:spacing w:val="-1"/>
                <w:w w:val="115"/>
                <w:sz w:val="24"/>
              </w:rPr>
              <w:t xml:space="preserve"> </w:t>
            </w:r>
            <w:r w:rsidRPr="004046C5">
              <w:rPr>
                <w:rFonts w:asciiTheme="minorHAnsi" w:hAnsiTheme="minorHAnsi"/>
                <w:spacing w:val="-2"/>
                <w:w w:val="115"/>
                <w:sz w:val="24"/>
              </w:rPr>
              <w:t>each)</w:t>
            </w:r>
          </w:p>
        </w:tc>
        <w:tc>
          <w:tcPr>
            <w:tcW w:w="1596" w:type="dxa"/>
          </w:tcPr>
          <w:p w14:paraId="4ED67A15" w14:textId="77777777" w:rsidR="004046C5" w:rsidRPr="004046C5" w:rsidRDefault="004046C5" w:rsidP="00AE2A7C">
            <w:pPr>
              <w:pStyle w:val="TableParagraph"/>
              <w:ind w:left="117"/>
              <w:rPr>
                <w:rFonts w:asciiTheme="minorHAnsi" w:hAnsiTheme="minorHAnsi"/>
                <w:sz w:val="24"/>
              </w:rPr>
            </w:pPr>
            <w:r w:rsidRPr="004046C5">
              <w:rPr>
                <w:rFonts w:asciiTheme="minorHAnsi" w:hAnsiTheme="minorHAnsi"/>
                <w:spacing w:val="-4"/>
                <w:w w:val="125"/>
                <w:sz w:val="24"/>
              </w:rPr>
              <w:t>$200</w:t>
            </w:r>
          </w:p>
        </w:tc>
        <w:tc>
          <w:tcPr>
            <w:tcW w:w="1583" w:type="dxa"/>
          </w:tcPr>
          <w:p w14:paraId="15164ED9" w14:textId="77777777" w:rsidR="004046C5" w:rsidRPr="004046C5" w:rsidRDefault="004046C5" w:rsidP="00AE2A7C">
            <w:pPr>
              <w:pStyle w:val="TableParagraph"/>
              <w:ind w:left="110"/>
              <w:rPr>
                <w:rFonts w:asciiTheme="minorHAnsi" w:hAnsiTheme="minorHAnsi"/>
                <w:sz w:val="24"/>
              </w:rPr>
            </w:pPr>
            <w:r w:rsidRPr="004046C5">
              <w:rPr>
                <w:rFonts w:asciiTheme="minorHAnsi" w:hAnsiTheme="minorHAnsi"/>
                <w:spacing w:val="-5"/>
                <w:w w:val="130"/>
                <w:sz w:val="24"/>
              </w:rPr>
              <w:t>$0</w:t>
            </w:r>
          </w:p>
        </w:tc>
        <w:tc>
          <w:tcPr>
            <w:tcW w:w="1056" w:type="dxa"/>
          </w:tcPr>
          <w:p w14:paraId="13DB9ECC" w14:textId="77777777" w:rsidR="004046C5" w:rsidRPr="004046C5" w:rsidRDefault="004046C5" w:rsidP="00AE2A7C">
            <w:pPr>
              <w:pStyle w:val="TableParagraph"/>
              <w:ind w:left="10"/>
              <w:rPr>
                <w:rFonts w:asciiTheme="minorHAnsi" w:hAnsiTheme="minorHAnsi"/>
                <w:sz w:val="24"/>
              </w:rPr>
            </w:pPr>
            <w:r w:rsidRPr="004046C5">
              <w:rPr>
                <w:rFonts w:asciiTheme="minorHAnsi" w:hAnsiTheme="minorHAnsi"/>
                <w:spacing w:val="-4"/>
                <w:w w:val="125"/>
                <w:sz w:val="24"/>
              </w:rPr>
              <w:t>$200</w:t>
            </w:r>
          </w:p>
        </w:tc>
      </w:tr>
      <w:tr w:rsidR="004046C5" w14:paraId="2F830871" w14:textId="77777777" w:rsidTr="004046C5">
        <w:trPr>
          <w:trHeight w:val="476"/>
        </w:trPr>
        <w:tc>
          <w:tcPr>
            <w:tcW w:w="5057" w:type="dxa"/>
          </w:tcPr>
          <w:p w14:paraId="01BB9BDA" w14:textId="77777777" w:rsidR="004046C5" w:rsidRPr="004046C5" w:rsidRDefault="004046C5" w:rsidP="00AE2A7C">
            <w:pPr>
              <w:pStyle w:val="TableParagraph"/>
              <w:rPr>
                <w:rFonts w:asciiTheme="minorHAnsi" w:hAnsiTheme="minorHAnsi"/>
                <w:sz w:val="24"/>
              </w:rPr>
            </w:pPr>
            <w:r w:rsidRPr="004046C5">
              <w:rPr>
                <w:rFonts w:asciiTheme="minorHAnsi" w:hAnsiTheme="minorHAnsi"/>
                <w:w w:val="115"/>
                <w:sz w:val="24"/>
              </w:rPr>
              <w:t>Conference</w:t>
            </w:r>
            <w:r w:rsidRPr="004046C5">
              <w:rPr>
                <w:rFonts w:asciiTheme="minorHAnsi" w:hAnsiTheme="minorHAnsi"/>
                <w:spacing w:val="-10"/>
                <w:w w:val="115"/>
                <w:sz w:val="24"/>
              </w:rPr>
              <w:t xml:space="preserve"> </w:t>
            </w:r>
            <w:r w:rsidRPr="004046C5">
              <w:rPr>
                <w:rFonts w:asciiTheme="minorHAnsi" w:hAnsiTheme="minorHAnsi"/>
                <w:w w:val="115"/>
                <w:sz w:val="24"/>
              </w:rPr>
              <w:t>registration</w:t>
            </w:r>
            <w:r w:rsidRPr="004046C5">
              <w:rPr>
                <w:rFonts w:asciiTheme="minorHAnsi" w:hAnsiTheme="minorHAnsi"/>
                <w:spacing w:val="-9"/>
                <w:w w:val="115"/>
                <w:sz w:val="24"/>
              </w:rPr>
              <w:t xml:space="preserve"> </w:t>
            </w:r>
            <w:r w:rsidRPr="004046C5">
              <w:rPr>
                <w:rFonts w:asciiTheme="minorHAnsi" w:hAnsiTheme="minorHAnsi"/>
                <w:w w:val="115"/>
                <w:sz w:val="24"/>
              </w:rPr>
              <w:t>($725</w:t>
            </w:r>
            <w:r w:rsidRPr="004046C5">
              <w:rPr>
                <w:rFonts w:asciiTheme="minorHAnsi" w:hAnsiTheme="minorHAnsi"/>
                <w:spacing w:val="-9"/>
                <w:w w:val="115"/>
                <w:sz w:val="24"/>
              </w:rPr>
              <w:t xml:space="preserve"> </w:t>
            </w:r>
            <w:r w:rsidRPr="004046C5">
              <w:rPr>
                <w:rFonts w:asciiTheme="minorHAnsi" w:hAnsiTheme="minorHAnsi"/>
                <w:spacing w:val="-2"/>
                <w:w w:val="115"/>
                <w:sz w:val="24"/>
              </w:rPr>
              <w:t>each)</w:t>
            </w:r>
          </w:p>
        </w:tc>
        <w:tc>
          <w:tcPr>
            <w:tcW w:w="1596" w:type="dxa"/>
          </w:tcPr>
          <w:p w14:paraId="1556A7D4" w14:textId="77777777" w:rsidR="004046C5" w:rsidRPr="004046C5" w:rsidRDefault="004046C5" w:rsidP="00AE2A7C">
            <w:pPr>
              <w:pStyle w:val="TableParagraph"/>
              <w:ind w:left="117"/>
              <w:rPr>
                <w:rFonts w:asciiTheme="minorHAnsi" w:hAnsiTheme="minorHAnsi"/>
                <w:sz w:val="24"/>
              </w:rPr>
            </w:pPr>
            <w:r w:rsidRPr="004046C5">
              <w:rPr>
                <w:rFonts w:asciiTheme="minorHAnsi" w:hAnsiTheme="minorHAnsi"/>
                <w:spacing w:val="-2"/>
                <w:w w:val="115"/>
                <w:sz w:val="24"/>
              </w:rPr>
              <w:t>$1,450</w:t>
            </w:r>
          </w:p>
        </w:tc>
        <w:tc>
          <w:tcPr>
            <w:tcW w:w="1583" w:type="dxa"/>
          </w:tcPr>
          <w:p w14:paraId="38713B3F" w14:textId="77777777" w:rsidR="004046C5" w:rsidRPr="004046C5" w:rsidRDefault="004046C5" w:rsidP="00AE2A7C">
            <w:pPr>
              <w:pStyle w:val="TableParagraph"/>
              <w:ind w:left="110"/>
              <w:rPr>
                <w:rFonts w:asciiTheme="minorHAnsi" w:hAnsiTheme="minorHAnsi"/>
                <w:sz w:val="24"/>
              </w:rPr>
            </w:pPr>
            <w:r w:rsidRPr="004046C5">
              <w:rPr>
                <w:rFonts w:asciiTheme="minorHAnsi" w:hAnsiTheme="minorHAnsi"/>
                <w:spacing w:val="-5"/>
                <w:w w:val="130"/>
                <w:sz w:val="24"/>
              </w:rPr>
              <w:t>$0</w:t>
            </w:r>
          </w:p>
        </w:tc>
        <w:tc>
          <w:tcPr>
            <w:tcW w:w="1056" w:type="dxa"/>
          </w:tcPr>
          <w:p w14:paraId="6AFAB873" w14:textId="77777777" w:rsidR="004046C5" w:rsidRPr="004046C5" w:rsidRDefault="004046C5" w:rsidP="00AE2A7C">
            <w:pPr>
              <w:pStyle w:val="TableParagraph"/>
              <w:ind w:left="10"/>
              <w:rPr>
                <w:rFonts w:asciiTheme="minorHAnsi" w:hAnsiTheme="minorHAnsi"/>
                <w:sz w:val="24"/>
              </w:rPr>
            </w:pPr>
            <w:r w:rsidRPr="004046C5">
              <w:rPr>
                <w:rFonts w:asciiTheme="minorHAnsi" w:hAnsiTheme="minorHAnsi"/>
                <w:spacing w:val="-2"/>
                <w:w w:val="115"/>
                <w:sz w:val="24"/>
              </w:rPr>
              <w:t>$1450</w:t>
            </w:r>
          </w:p>
        </w:tc>
      </w:tr>
      <w:tr w:rsidR="004046C5" w14:paraId="65186027" w14:textId="77777777" w:rsidTr="004046C5">
        <w:trPr>
          <w:trHeight w:val="476"/>
        </w:trPr>
        <w:tc>
          <w:tcPr>
            <w:tcW w:w="5057" w:type="dxa"/>
          </w:tcPr>
          <w:p w14:paraId="50E7A9D9" w14:textId="77777777" w:rsidR="004046C5" w:rsidRPr="004046C5" w:rsidRDefault="004046C5" w:rsidP="00AE2A7C">
            <w:pPr>
              <w:pStyle w:val="TableParagraph"/>
              <w:spacing w:before="90"/>
              <w:rPr>
                <w:rFonts w:asciiTheme="minorHAnsi" w:hAnsiTheme="minorHAnsi"/>
                <w:b/>
                <w:sz w:val="24"/>
              </w:rPr>
            </w:pPr>
            <w:r w:rsidRPr="004046C5">
              <w:rPr>
                <w:rFonts w:asciiTheme="minorHAnsi" w:hAnsiTheme="minorHAnsi"/>
                <w:b/>
                <w:spacing w:val="-2"/>
                <w:sz w:val="24"/>
              </w:rPr>
              <w:t>Total</w:t>
            </w:r>
          </w:p>
        </w:tc>
        <w:tc>
          <w:tcPr>
            <w:tcW w:w="1596" w:type="dxa"/>
          </w:tcPr>
          <w:p w14:paraId="626BB8A8" w14:textId="77777777" w:rsidR="004046C5" w:rsidRPr="004046C5" w:rsidRDefault="004046C5" w:rsidP="00AE2A7C">
            <w:pPr>
              <w:pStyle w:val="TableParagraph"/>
              <w:ind w:left="117"/>
              <w:rPr>
                <w:rFonts w:asciiTheme="minorHAnsi" w:hAnsiTheme="minorHAnsi"/>
                <w:sz w:val="24"/>
              </w:rPr>
            </w:pPr>
            <w:r w:rsidRPr="004046C5">
              <w:rPr>
                <w:rFonts w:asciiTheme="minorHAnsi" w:hAnsiTheme="minorHAnsi"/>
                <w:spacing w:val="-2"/>
                <w:w w:val="125"/>
                <w:sz w:val="24"/>
              </w:rPr>
              <w:t>$9250</w:t>
            </w:r>
          </w:p>
        </w:tc>
        <w:tc>
          <w:tcPr>
            <w:tcW w:w="1583" w:type="dxa"/>
          </w:tcPr>
          <w:p w14:paraId="5997E22A" w14:textId="77777777" w:rsidR="004046C5" w:rsidRPr="004046C5" w:rsidRDefault="004046C5" w:rsidP="00AE2A7C">
            <w:pPr>
              <w:pStyle w:val="TableParagraph"/>
              <w:ind w:left="110"/>
              <w:rPr>
                <w:rFonts w:asciiTheme="minorHAnsi" w:hAnsiTheme="minorHAnsi"/>
                <w:sz w:val="24"/>
              </w:rPr>
            </w:pPr>
            <w:r w:rsidRPr="004046C5">
              <w:rPr>
                <w:rFonts w:asciiTheme="minorHAnsi" w:hAnsiTheme="minorHAnsi"/>
                <w:spacing w:val="-2"/>
                <w:w w:val="125"/>
                <w:sz w:val="24"/>
              </w:rPr>
              <w:t>$5000</w:t>
            </w:r>
          </w:p>
        </w:tc>
        <w:tc>
          <w:tcPr>
            <w:tcW w:w="1056" w:type="dxa"/>
          </w:tcPr>
          <w:p w14:paraId="32CC5CFF" w14:textId="77777777" w:rsidR="004046C5" w:rsidRPr="004046C5" w:rsidRDefault="004046C5" w:rsidP="00AE2A7C">
            <w:pPr>
              <w:pStyle w:val="TableParagraph"/>
              <w:ind w:left="10"/>
              <w:rPr>
                <w:rFonts w:asciiTheme="minorHAnsi" w:hAnsiTheme="minorHAnsi"/>
                <w:sz w:val="24"/>
              </w:rPr>
            </w:pPr>
            <w:r w:rsidRPr="004046C5">
              <w:rPr>
                <w:rFonts w:asciiTheme="minorHAnsi" w:hAnsiTheme="minorHAnsi"/>
                <w:spacing w:val="-2"/>
                <w:w w:val="120"/>
                <w:sz w:val="24"/>
              </w:rPr>
              <w:t>$4250</w:t>
            </w:r>
          </w:p>
        </w:tc>
      </w:tr>
    </w:tbl>
    <w:p w14:paraId="1CFE59B2" w14:textId="77777777" w:rsidR="004046C5" w:rsidRDefault="004046C5" w:rsidP="004046C5"/>
    <w:p w14:paraId="36FFAC44" w14:textId="606BAFC5" w:rsidR="004046C5" w:rsidRDefault="004046C5" w:rsidP="004046C5">
      <w:r w:rsidRPr="004046C5">
        <w:rPr>
          <w:b/>
          <w:bCs/>
        </w:rPr>
        <w:t>Additional Documents</w:t>
      </w:r>
      <w:r>
        <w:t>: References and Support Letter</w:t>
      </w:r>
    </w:p>
    <w:p w14:paraId="31ACB836" w14:textId="1E43061D" w:rsidR="00AF4FE3" w:rsidRDefault="004046C5" w:rsidP="004046C5">
      <w:r>
        <w:t xml:space="preserve"> </w:t>
      </w:r>
    </w:p>
    <w:sectPr w:rsidR="00AF4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v:imagedata r:id="rId1" o:title="image2"/>
      </v:shape>
    </w:pict>
  </w:numPicBullet>
  <w:abstractNum w:abstractNumId="0" w15:restartNumberingAfterBreak="0">
    <w:nsid w:val="357C0ED4"/>
    <w:multiLevelType w:val="hybridMultilevel"/>
    <w:tmpl w:val="D960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39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C5"/>
    <w:rsid w:val="000F0FDE"/>
    <w:rsid w:val="004046C5"/>
    <w:rsid w:val="00535503"/>
    <w:rsid w:val="006C1D7D"/>
    <w:rsid w:val="00AF4FE3"/>
    <w:rsid w:val="00F9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4CCF"/>
  <w15:chartTrackingRefBased/>
  <w15:docId w15:val="{FE16A1B6-C16E-4C92-A971-A93D9197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6C5"/>
    <w:rPr>
      <w:rFonts w:eastAsiaTheme="majorEastAsia" w:cstheme="majorBidi"/>
      <w:color w:val="272727" w:themeColor="text1" w:themeTint="D8"/>
    </w:rPr>
  </w:style>
  <w:style w:type="paragraph" w:styleId="Title">
    <w:name w:val="Title"/>
    <w:basedOn w:val="Normal"/>
    <w:next w:val="Normal"/>
    <w:link w:val="TitleChar"/>
    <w:uiPriority w:val="10"/>
    <w:qFormat/>
    <w:rsid w:val="00404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6C5"/>
    <w:pPr>
      <w:spacing w:before="160"/>
      <w:jc w:val="center"/>
    </w:pPr>
    <w:rPr>
      <w:i/>
      <w:iCs/>
      <w:color w:val="404040" w:themeColor="text1" w:themeTint="BF"/>
    </w:rPr>
  </w:style>
  <w:style w:type="character" w:customStyle="1" w:styleId="QuoteChar">
    <w:name w:val="Quote Char"/>
    <w:basedOn w:val="DefaultParagraphFont"/>
    <w:link w:val="Quote"/>
    <w:uiPriority w:val="29"/>
    <w:rsid w:val="004046C5"/>
    <w:rPr>
      <w:i/>
      <w:iCs/>
      <w:color w:val="404040" w:themeColor="text1" w:themeTint="BF"/>
    </w:rPr>
  </w:style>
  <w:style w:type="paragraph" w:styleId="ListParagraph">
    <w:name w:val="List Paragraph"/>
    <w:basedOn w:val="Normal"/>
    <w:uiPriority w:val="34"/>
    <w:qFormat/>
    <w:rsid w:val="004046C5"/>
    <w:pPr>
      <w:ind w:left="720"/>
      <w:contextualSpacing/>
    </w:pPr>
  </w:style>
  <w:style w:type="character" w:styleId="IntenseEmphasis">
    <w:name w:val="Intense Emphasis"/>
    <w:basedOn w:val="DefaultParagraphFont"/>
    <w:uiPriority w:val="21"/>
    <w:qFormat/>
    <w:rsid w:val="004046C5"/>
    <w:rPr>
      <w:i/>
      <w:iCs/>
      <w:color w:val="0F4761" w:themeColor="accent1" w:themeShade="BF"/>
    </w:rPr>
  </w:style>
  <w:style w:type="paragraph" w:styleId="IntenseQuote">
    <w:name w:val="Intense Quote"/>
    <w:basedOn w:val="Normal"/>
    <w:next w:val="Normal"/>
    <w:link w:val="IntenseQuoteChar"/>
    <w:uiPriority w:val="30"/>
    <w:qFormat/>
    <w:rsid w:val="00404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6C5"/>
    <w:rPr>
      <w:i/>
      <w:iCs/>
      <w:color w:val="0F4761" w:themeColor="accent1" w:themeShade="BF"/>
    </w:rPr>
  </w:style>
  <w:style w:type="character" w:styleId="IntenseReference">
    <w:name w:val="Intense Reference"/>
    <w:basedOn w:val="DefaultParagraphFont"/>
    <w:uiPriority w:val="32"/>
    <w:qFormat/>
    <w:rsid w:val="004046C5"/>
    <w:rPr>
      <w:b/>
      <w:bCs/>
      <w:smallCaps/>
      <w:color w:val="0F4761" w:themeColor="accent1" w:themeShade="BF"/>
      <w:spacing w:val="5"/>
    </w:rPr>
  </w:style>
  <w:style w:type="paragraph" w:customStyle="1" w:styleId="TableParagraph">
    <w:name w:val="Table Paragraph"/>
    <w:basedOn w:val="Normal"/>
    <w:uiPriority w:val="1"/>
    <w:qFormat/>
    <w:rsid w:val="004046C5"/>
    <w:pPr>
      <w:widowControl w:val="0"/>
      <w:autoSpaceDE w:val="0"/>
      <w:autoSpaceDN w:val="0"/>
      <w:spacing w:before="86" w:after="0" w:line="240" w:lineRule="auto"/>
      <w:ind w:left="115"/>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1271</Words>
  <Characters>7249</Characters>
  <Application>Microsoft Office Word</Application>
  <DocSecurity>0</DocSecurity>
  <Lines>60</Lines>
  <Paragraphs>17</Paragraphs>
  <ScaleCrop>false</ScaleCrop>
  <Company>Indiana University</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Rao, Anusha</dc:creator>
  <cp:keywords/>
  <dc:description/>
  <cp:lastModifiedBy>S Rao, Anusha</cp:lastModifiedBy>
  <cp:revision>2</cp:revision>
  <dcterms:created xsi:type="dcterms:W3CDTF">2026-01-20T19:44:00Z</dcterms:created>
  <dcterms:modified xsi:type="dcterms:W3CDTF">2026-01-20T19:49:00Z</dcterms:modified>
</cp:coreProperties>
</file>